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E41C5" w14:textId="41483BAF" w:rsidR="00E76B62" w:rsidRPr="00496528" w:rsidRDefault="00E76B62" w:rsidP="00A859EB">
      <w:pPr>
        <w:shd w:val="clear" w:color="auto" w:fill="FFFFFF"/>
        <w:jc w:val="center"/>
        <w:rPr>
          <w:rFonts w:ascii="Times New Roman" w:hAnsi="Times New Roman"/>
          <w:b/>
          <w:sz w:val="20"/>
          <w:szCs w:val="20"/>
        </w:rPr>
      </w:pPr>
      <w:r w:rsidRPr="00496528">
        <w:rPr>
          <w:rFonts w:ascii="Times New Roman" w:hAnsi="Times New Roman"/>
          <w:b/>
          <w:sz w:val="20"/>
          <w:szCs w:val="20"/>
        </w:rPr>
        <w:t xml:space="preserve">Notas Correspondientes </w:t>
      </w:r>
      <w:r w:rsidR="003634FD" w:rsidRPr="00496528">
        <w:rPr>
          <w:rFonts w:ascii="Times New Roman" w:hAnsi="Times New Roman"/>
          <w:b/>
          <w:sz w:val="20"/>
          <w:szCs w:val="20"/>
        </w:rPr>
        <w:t xml:space="preserve">al </w:t>
      </w:r>
      <w:r w:rsidR="00753E58">
        <w:rPr>
          <w:rFonts w:ascii="Times New Roman" w:hAnsi="Times New Roman"/>
          <w:b/>
          <w:sz w:val="20"/>
          <w:szCs w:val="20"/>
        </w:rPr>
        <w:t>31 de diciembre</w:t>
      </w:r>
      <w:r w:rsidR="00C47E1E" w:rsidRPr="00496528">
        <w:rPr>
          <w:rFonts w:ascii="Times New Roman" w:hAnsi="Times New Roman"/>
          <w:b/>
          <w:sz w:val="20"/>
          <w:szCs w:val="20"/>
        </w:rPr>
        <w:t xml:space="preserve"> del 2025</w:t>
      </w:r>
    </w:p>
    <w:p w14:paraId="32EDED0C" w14:textId="5A0BD8DC" w:rsidR="00556BDD" w:rsidRPr="00496528" w:rsidRDefault="00556BDD" w:rsidP="00A859EB">
      <w:pPr>
        <w:shd w:val="clear" w:color="auto" w:fill="FFFFFF"/>
        <w:jc w:val="both"/>
        <w:rPr>
          <w:rFonts w:ascii="Times New Roman" w:hAnsi="Times New Roman"/>
          <w:color w:val="C45911"/>
          <w:sz w:val="24"/>
          <w:szCs w:val="24"/>
        </w:rPr>
      </w:pPr>
      <w:r w:rsidRPr="00496528">
        <w:rPr>
          <w:rFonts w:ascii="Times New Roman" w:hAnsi="Times New Roman"/>
          <w:b/>
          <w:color w:val="C45911"/>
          <w:sz w:val="24"/>
          <w:szCs w:val="24"/>
        </w:rPr>
        <w:t xml:space="preserve">1. </w:t>
      </w:r>
      <w:r w:rsidR="008260F7" w:rsidRPr="00496528">
        <w:rPr>
          <w:rFonts w:ascii="Times New Roman" w:hAnsi="Times New Roman"/>
          <w:b/>
          <w:color w:val="C45911"/>
          <w:sz w:val="24"/>
          <w:szCs w:val="24"/>
        </w:rPr>
        <w:t>Autorización e Historia</w:t>
      </w:r>
    </w:p>
    <w:p w14:paraId="6CABADF6" w14:textId="77777777" w:rsidR="00556BDD"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 xml:space="preserve">El Instituto Municipal de Planeación, </w:t>
      </w:r>
      <w:r w:rsidR="006744C2" w:rsidRPr="00496528">
        <w:rPr>
          <w:rFonts w:ascii="Times New Roman" w:hAnsi="Times New Roman"/>
          <w:sz w:val="20"/>
          <w:szCs w:val="20"/>
        </w:rPr>
        <w:t xml:space="preserve">se crea por </w:t>
      </w:r>
      <w:r w:rsidRPr="00496528">
        <w:rPr>
          <w:rFonts w:ascii="Times New Roman" w:hAnsi="Times New Roman"/>
          <w:sz w:val="20"/>
          <w:szCs w:val="20"/>
        </w:rPr>
        <w:t>la necesidad de que el Municipio de Irapuato, crezca de manera ordenada en beneficio de la Ciudadanía, además de contar con</w:t>
      </w:r>
      <w:r w:rsidR="00426A49" w:rsidRPr="00496528">
        <w:rPr>
          <w:rFonts w:ascii="Times New Roman" w:hAnsi="Times New Roman"/>
          <w:sz w:val="20"/>
          <w:szCs w:val="20"/>
        </w:rPr>
        <w:t xml:space="preserve"> instrumentos de planeación</w:t>
      </w:r>
      <w:r w:rsidRPr="00496528">
        <w:rPr>
          <w:rFonts w:ascii="Times New Roman" w:hAnsi="Times New Roman"/>
          <w:sz w:val="20"/>
          <w:szCs w:val="20"/>
        </w:rPr>
        <w:t xml:space="preserve"> que ayuden a gobernar. </w:t>
      </w:r>
      <w:r w:rsidR="003B58BE" w:rsidRPr="00496528">
        <w:rPr>
          <w:rFonts w:ascii="Times New Roman" w:hAnsi="Times New Roman"/>
          <w:sz w:val="20"/>
          <w:szCs w:val="20"/>
        </w:rPr>
        <w:t>A</w:t>
      </w:r>
      <w:r w:rsidRPr="00496528">
        <w:rPr>
          <w:rFonts w:ascii="Times New Roman" w:hAnsi="Times New Roman"/>
          <w:sz w:val="20"/>
          <w:szCs w:val="20"/>
        </w:rPr>
        <w:t>uxiliar al Ayuntamiento y al C</w:t>
      </w:r>
      <w:r w:rsidR="00350FC5">
        <w:rPr>
          <w:rFonts w:ascii="Times New Roman" w:hAnsi="Times New Roman"/>
          <w:sz w:val="20"/>
          <w:szCs w:val="20"/>
        </w:rPr>
        <w:t>OPLADEMI</w:t>
      </w:r>
      <w:r w:rsidRPr="00496528">
        <w:rPr>
          <w:rFonts w:ascii="Times New Roman" w:hAnsi="Times New Roman"/>
          <w:sz w:val="20"/>
          <w:szCs w:val="20"/>
        </w:rPr>
        <w:t xml:space="preserve">, en el cumplimiento de las funciones que le confiere la </w:t>
      </w:r>
      <w:bookmarkStart w:id="0" w:name="_Hlk196217172"/>
      <w:r w:rsidR="00C47E1E" w:rsidRPr="00496528">
        <w:rPr>
          <w:rFonts w:ascii="Times New Roman" w:hAnsi="Times New Roman"/>
          <w:sz w:val="20"/>
          <w:szCs w:val="20"/>
        </w:rPr>
        <w:t>Ley para el Gobierno y Administración de los Municipios del Estado de Guanajuato</w:t>
      </w:r>
      <w:bookmarkEnd w:id="0"/>
      <w:r w:rsidR="00BC3C7D" w:rsidRPr="00496528">
        <w:rPr>
          <w:rFonts w:ascii="Times New Roman" w:hAnsi="Times New Roman"/>
          <w:sz w:val="20"/>
          <w:szCs w:val="20"/>
        </w:rPr>
        <w:t xml:space="preserve"> y</w:t>
      </w:r>
      <w:r w:rsidR="003B58BE" w:rsidRPr="00496528">
        <w:rPr>
          <w:rFonts w:ascii="Times New Roman" w:hAnsi="Times New Roman"/>
          <w:sz w:val="20"/>
          <w:szCs w:val="20"/>
        </w:rPr>
        <w:t xml:space="preserve"> </w:t>
      </w:r>
      <w:r w:rsidR="00C47E1E" w:rsidRPr="00496528">
        <w:rPr>
          <w:rFonts w:ascii="Times New Roman" w:hAnsi="Times New Roman"/>
          <w:sz w:val="20"/>
          <w:szCs w:val="20"/>
        </w:rPr>
        <w:t xml:space="preserve">Ley de Planeación para el Estado de Guanajuato, </w:t>
      </w:r>
      <w:r w:rsidR="00BC3C7D" w:rsidRPr="00496528">
        <w:rPr>
          <w:rFonts w:ascii="Times New Roman" w:hAnsi="Times New Roman"/>
          <w:sz w:val="20"/>
          <w:szCs w:val="20"/>
        </w:rPr>
        <w:t xml:space="preserve">entre otras, </w:t>
      </w:r>
      <w:r w:rsidR="003B58BE" w:rsidRPr="00496528">
        <w:rPr>
          <w:rFonts w:ascii="Times New Roman" w:hAnsi="Times New Roman"/>
          <w:sz w:val="20"/>
          <w:szCs w:val="20"/>
        </w:rPr>
        <w:t>en materia de planeación,</w:t>
      </w:r>
      <w:r w:rsidRPr="00496528">
        <w:rPr>
          <w:rFonts w:ascii="Times New Roman" w:hAnsi="Times New Roman"/>
          <w:sz w:val="20"/>
          <w:szCs w:val="20"/>
        </w:rPr>
        <w:t xml:space="preserve"> emitiendo opiniones y recomendaciones al propio Ayuntamiento, para que éste l</w:t>
      </w:r>
      <w:r w:rsidR="005E0C84" w:rsidRPr="00496528">
        <w:rPr>
          <w:rFonts w:ascii="Times New Roman" w:hAnsi="Times New Roman"/>
          <w:sz w:val="20"/>
          <w:szCs w:val="20"/>
        </w:rPr>
        <w:t>os discuta y apruebe en su caso.</w:t>
      </w:r>
    </w:p>
    <w:p w14:paraId="4AE6905A" w14:textId="77777777" w:rsidR="008260F7" w:rsidRPr="00496528" w:rsidRDefault="008260F7" w:rsidP="008260F7">
      <w:pPr>
        <w:shd w:val="clear" w:color="auto" w:fill="FFFFFF"/>
        <w:jc w:val="both"/>
        <w:rPr>
          <w:rFonts w:ascii="Times New Roman" w:hAnsi="Times New Roman"/>
          <w:sz w:val="20"/>
          <w:szCs w:val="20"/>
        </w:rPr>
      </w:pPr>
      <w:r w:rsidRPr="00496528">
        <w:rPr>
          <w:rFonts w:ascii="Times New Roman" w:hAnsi="Times New Roman"/>
          <w:sz w:val="20"/>
          <w:szCs w:val="20"/>
        </w:rPr>
        <w:t>a) Fecha de creación del ente.</w:t>
      </w:r>
    </w:p>
    <w:p w14:paraId="0A3CB00E" w14:textId="77777777" w:rsidR="008260F7" w:rsidRPr="00496528" w:rsidRDefault="008260F7" w:rsidP="008260F7">
      <w:pPr>
        <w:shd w:val="clear" w:color="auto" w:fill="FFFFFF"/>
        <w:jc w:val="both"/>
        <w:rPr>
          <w:rFonts w:ascii="Times New Roman" w:hAnsi="Times New Roman"/>
          <w:sz w:val="20"/>
          <w:szCs w:val="20"/>
        </w:rPr>
      </w:pPr>
      <w:r w:rsidRPr="00496528">
        <w:rPr>
          <w:rFonts w:ascii="Times New Roman" w:hAnsi="Times New Roman"/>
          <w:sz w:val="20"/>
          <w:szCs w:val="20"/>
        </w:rPr>
        <w:t>El 17 de diciembre del 2004, en sesión de Ayuntamiento Ordinaria número 39 y publicando su reglamento en Periódico Oficial del Gobierno del Estado de Guanajuato del 18 de enero del 2005.</w:t>
      </w:r>
    </w:p>
    <w:p w14:paraId="553AB704" w14:textId="77777777" w:rsidR="008260F7" w:rsidRPr="00496528" w:rsidRDefault="008260F7" w:rsidP="008260F7">
      <w:pPr>
        <w:shd w:val="clear" w:color="auto" w:fill="FFFFFF"/>
        <w:jc w:val="both"/>
        <w:rPr>
          <w:rFonts w:ascii="Times New Roman" w:hAnsi="Times New Roman"/>
          <w:sz w:val="20"/>
          <w:szCs w:val="20"/>
        </w:rPr>
      </w:pPr>
      <w:r w:rsidRPr="00496528">
        <w:rPr>
          <w:rFonts w:ascii="Times New Roman" w:hAnsi="Times New Roman"/>
          <w:sz w:val="20"/>
          <w:szCs w:val="20"/>
        </w:rPr>
        <w:t>b) Principales cambios en su estructura.</w:t>
      </w:r>
    </w:p>
    <w:p w14:paraId="488BFB8E" w14:textId="77777777" w:rsidR="008260F7" w:rsidRPr="00496528" w:rsidRDefault="008260F7" w:rsidP="008260F7">
      <w:pPr>
        <w:shd w:val="clear" w:color="auto" w:fill="FFFFFF"/>
        <w:jc w:val="both"/>
        <w:rPr>
          <w:rFonts w:ascii="Times New Roman" w:hAnsi="Times New Roman"/>
          <w:sz w:val="20"/>
          <w:szCs w:val="20"/>
        </w:rPr>
      </w:pPr>
      <w:r w:rsidRPr="00496528">
        <w:rPr>
          <w:rFonts w:ascii="Times New Roman" w:hAnsi="Times New Roman"/>
          <w:sz w:val="20"/>
          <w:szCs w:val="20"/>
        </w:rPr>
        <w:t xml:space="preserve">Histórico: A partir de la 1ra Reforma al Reglamento del IMPLAN, publicada en el Periódico Oficial del Gobierno del Estado de Guanajuato, el </w:t>
      </w:r>
      <w:r w:rsidRPr="00496528">
        <w:rPr>
          <w:rFonts w:ascii="Times New Roman" w:hAnsi="Times New Roman"/>
          <w:b/>
          <w:sz w:val="20"/>
          <w:szCs w:val="20"/>
        </w:rPr>
        <w:t>12 de Julio del 2012,</w:t>
      </w:r>
      <w:r w:rsidRPr="00496528">
        <w:rPr>
          <w:rFonts w:ascii="Times New Roman" w:hAnsi="Times New Roman"/>
          <w:sz w:val="20"/>
          <w:szCs w:val="20"/>
        </w:rPr>
        <w:t xml:space="preserve"> Cuenta con una </w:t>
      </w:r>
      <w:r w:rsidRPr="00496528">
        <w:rPr>
          <w:rFonts w:ascii="Times New Roman" w:hAnsi="Times New Roman"/>
          <w:b/>
          <w:sz w:val="20"/>
          <w:szCs w:val="20"/>
        </w:rPr>
        <w:t>Junta Directiva</w:t>
      </w:r>
      <w:r w:rsidRPr="00496528">
        <w:rPr>
          <w:rFonts w:ascii="Times New Roman" w:hAnsi="Times New Roman"/>
          <w:sz w:val="20"/>
          <w:szCs w:val="20"/>
        </w:rPr>
        <w:t xml:space="preserve">, integrada por cuatro consejeros ciudadanos y tres regidores, un Secretario Técnico y un Coordinador de la </w:t>
      </w:r>
      <w:r w:rsidRPr="00496528">
        <w:rPr>
          <w:rFonts w:ascii="Times New Roman" w:hAnsi="Times New Roman"/>
          <w:b/>
          <w:sz w:val="20"/>
          <w:szCs w:val="20"/>
        </w:rPr>
        <w:t>Junta Directiva</w:t>
      </w:r>
      <w:r w:rsidRPr="00496528">
        <w:rPr>
          <w:rFonts w:ascii="Times New Roman" w:hAnsi="Times New Roman"/>
          <w:sz w:val="20"/>
          <w:szCs w:val="20"/>
        </w:rPr>
        <w:t xml:space="preserve">, este último será el Titular de la Dirección de Planeación y Desarrollo Institucional, del Municipio de Irapuato además de  un </w:t>
      </w:r>
      <w:r w:rsidRPr="00496528">
        <w:rPr>
          <w:rFonts w:ascii="Times New Roman" w:hAnsi="Times New Roman"/>
          <w:b/>
          <w:sz w:val="20"/>
          <w:szCs w:val="20"/>
        </w:rPr>
        <w:t>Consejo</w:t>
      </w:r>
      <w:r w:rsidRPr="00496528">
        <w:rPr>
          <w:rFonts w:ascii="Times New Roman" w:hAnsi="Times New Roman"/>
          <w:sz w:val="20"/>
          <w:szCs w:val="20"/>
        </w:rPr>
        <w:t xml:space="preserve"> </w:t>
      </w:r>
      <w:r w:rsidRPr="00496528">
        <w:rPr>
          <w:rFonts w:ascii="Times New Roman" w:hAnsi="Times New Roman"/>
          <w:b/>
          <w:sz w:val="20"/>
          <w:szCs w:val="20"/>
        </w:rPr>
        <w:t>Ciudadano</w:t>
      </w:r>
      <w:r w:rsidRPr="00496528">
        <w:rPr>
          <w:rFonts w:ascii="Times New Roman" w:hAnsi="Times New Roman"/>
          <w:sz w:val="20"/>
          <w:szCs w:val="20"/>
        </w:rPr>
        <w:t xml:space="preserve">  integrado por 10 Ciudadanos,  un Secretario Técnico y un Coordinador de la Junta Directiva, el Director General  del IMPLAN, funge como Secretario Técnico y como Representante Legal. El Instituto está Integrado por cinco Direcciones de Área: de Planeación y Proyectos, de Investigación e Información de Geoestadística y Cartografía, de Promoción y Vinculación, de Sistemas de Información y Difusión, tres Coordinadores de Área una Coordinación Administrativa y tres auxiliares.</w:t>
      </w:r>
    </w:p>
    <w:p w14:paraId="3D3E4E07" w14:textId="77777777" w:rsidR="008260F7" w:rsidRPr="00496528" w:rsidRDefault="008260F7" w:rsidP="008260F7">
      <w:pPr>
        <w:shd w:val="clear" w:color="auto" w:fill="FFFFFF"/>
        <w:jc w:val="both"/>
        <w:rPr>
          <w:rFonts w:ascii="Times New Roman" w:hAnsi="Times New Roman"/>
          <w:sz w:val="20"/>
          <w:szCs w:val="20"/>
        </w:rPr>
      </w:pPr>
      <w:r w:rsidRPr="00496528">
        <w:rPr>
          <w:rFonts w:ascii="Times New Roman" w:hAnsi="Times New Roman"/>
          <w:sz w:val="20"/>
          <w:szCs w:val="20"/>
        </w:rPr>
        <w:t>El</w:t>
      </w:r>
      <w:r w:rsidRPr="00496528">
        <w:rPr>
          <w:rFonts w:ascii="Times New Roman" w:hAnsi="Times New Roman"/>
          <w:b/>
          <w:sz w:val="20"/>
          <w:szCs w:val="20"/>
        </w:rPr>
        <w:t xml:space="preserve"> 28 de Junio del 2017</w:t>
      </w:r>
      <w:r w:rsidRPr="00496528">
        <w:rPr>
          <w:rFonts w:ascii="Times New Roman" w:hAnsi="Times New Roman"/>
          <w:sz w:val="20"/>
          <w:szCs w:val="20"/>
        </w:rPr>
        <w:t xml:space="preserve">, se aprobó en Sesión de Ayuntamiento numero 55 ordinaria, la reforma al Reglamento de este Instituto Municipal de Planeación de Irapuato, Guanajuato, donde los principales cambios son de haber una Junta Directiva y un Consejo Ciudadano, paso a tener un </w:t>
      </w:r>
      <w:r w:rsidRPr="00496528">
        <w:rPr>
          <w:rFonts w:ascii="Times New Roman" w:hAnsi="Times New Roman"/>
          <w:b/>
          <w:sz w:val="20"/>
          <w:szCs w:val="20"/>
        </w:rPr>
        <w:t>Consejo Directivo</w:t>
      </w:r>
      <w:r w:rsidRPr="00496528">
        <w:rPr>
          <w:rFonts w:ascii="Times New Roman" w:hAnsi="Times New Roman"/>
          <w:sz w:val="20"/>
          <w:szCs w:val="20"/>
        </w:rPr>
        <w:t xml:space="preserve">, formado por un Presidente, (que será electo de entre los miembros ciudadanos del propio Consejo Directivo, en la primera sesión mensual ordinaria) Tres Regidores, Director General de Programación y Desarrollo Gubernamental  y 10 Consejeros Ciudadanos. </w:t>
      </w:r>
    </w:p>
    <w:p w14:paraId="1A443B69" w14:textId="77777777" w:rsidR="008260F7" w:rsidRPr="00496528" w:rsidRDefault="008260F7" w:rsidP="008260F7">
      <w:pPr>
        <w:shd w:val="clear" w:color="auto" w:fill="FFFFFF"/>
        <w:jc w:val="both"/>
        <w:rPr>
          <w:rFonts w:ascii="Times New Roman" w:hAnsi="Times New Roman"/>
          <w:b/>
          <w:sz w:val="20"/>
          <w:szCs w:val="20"/>
        </w:rPr>
      </w:pPr>
      <w:r w:rsidRPr="00496528">
        <w:rPr>
          <w:rFonts w:ascii="Times New Roman" w:hAnsi="Times New Roman"/>
          <w:b/>
          <w:sz w:val="20"/>
          <w:szCs w:val="20"/>
        </w:rPr>
        <w:t xml:space="preserve">Integración de la Dirección General de "El Instituto" Artículo 33.-"EI </w:t>
      </w:r>
      <w:r w:rsidRPr="00496528">
        <w:rPr>
          <w:rFonts w:ascii="Times New Roman" w:hAnsi="Times New Roman"/>
          <w:sz w:val="20"/>
          <w:szCs w:val="20"/>
        </w:rPr>
        <w:t xml:space="preserve">Instituto" para el cumplimiento de sus fines, contará con las siguientes Direcciones: </w:t>
      </w:r>
      <w:r w:rsidRPr="00496528">
        <w:rPr>
          <w:rFonts w:ascii="Times New Roman" w:hAnsi="Times New Roman"/>
          <w:b/>
          <w:sz w:val="20"/>
          <w:szCs w:val="20"/>
        </w:rPr>
        <w:t xml:space="preserve">  Dirección de Gestión de Planeación Municipal, Dirección de Procesos de Planeación, Dirección de Vinculación, Dirección de Geoestadística y Cartografía, Dirección de Sistemas de Información.</w:t>
      </w:r>
    </w:p>
    <w:p w14:paraId="46A7EEF4" w14:textId="77777777" w:rsidR="008260F7" w:rsidRPr="00496528" w:rsidRDefault="008260F7" w:rsidP="008260F7">
      <w:pPr>
        <w:shd w:val="clear" w:color="auto" w:fill="FFFFFF"/>
        <w:jc w:val="both"/>
        <w:rPr>
          <w:rFonts w:ascii="Times New Roman" w:hAnsi="Times New Roman"/>
          <w:b/>
          <w:sz w:val="20"/>
          <w:szCs w:val="20"/>
        </w:rPr>
      </w:pPr>
      <w:r w:rsidRPr="00496528">
        <w:rPr>
          <w:rFonts w:ascii="Times New Roman" w:hAnsi="Times New Roman"/>
          <w:sz w:val="20"/>
          <w:szCs w:val="20"/>
        </w:rPr>
        <w:t>En sesión de Ayuntamiento número 26, ordinaria, de</w:t>
      </w:r>
      <w:r w:rsidRPr="00496528">
        <w:rPr>
          <w:rFonts w:ascii="Times New Roman" w:hAnsi="Times New Roman"/>
          <w:b/>
          <w:sz w:val="20"/>
          <w:szCs w:val="20"/>
        </w:rPr>
        <w:t xml:space="preserve"> </w:t>
      </w:r>
      <w:r w:rsidRPr="00496528">
        <w:rPr>
          <w:rFonts w:ascii="Times New Roman" w:hAnsi="Times New Roman"/>
          <w:sz w:val="20"/>
          <w:szCs w:val="20"/>
        </w:rPr>
        <w:t>fecha</w:t>
      </w:r>
      <w:r w:rsidRPr="00496528">
        <w:rPr>
          <w:rFonts w:ascii="Times New Roman" w:hAnsi="Times New Roman"/>
          <w:b/>
          <w:sz w:val="20"/>
          <w:szCs w:val="20"/>
        </w:rPr>
        <w:t xml:space="preserve"> 06 de septiembre del 2019, </w:t>
      </w:r>
      <w:r w:rsidRPr="00496528">
        <w:rPr>
          <w:rFonts w:ascii="Times New Roman" w:hAnsi="Times New Roman"/>
          <w:sz w:val="20"/>
          <w:szCs w:val="20"/>
        </w:rPr>
        <w:t xml:space="preserve">se aprobó el nuevo reglamento del Instituto Municipal de Planeación de Irapuato, Guanajuato, en el cual integran al </w:t>
      </w:r>
      <w:r w:rsidRPr="00496528">
        <w:rPr>
          <w:rFonts w:ascii="Times New Roman" w:hAnsi="Times New Roman"/>
          <w:b/>
          <w:sz w:val="20"/>
          <w:szCs w:val="20"/>
        </w:rPr>
        <w:t xml:space="preserve">Consejo Directivo, </w:t>
      </w:r>
      <w:r w:rsidRPr="00496528">
        <w:rPr>
          <w:rFonts w:ascii="Times New Roman" w:hAnsi="Times New Roman"/>
          <w:sz w:val="20"/>
          <w:szCs w:val="20"/>
        </w:rPr>
        <w:t xml:space="preserve">la Dirección </w:t>
      </w:r>
      <w:r w:rsidRPr="00496528">
        <w:rPr>
          <w:rFonts w:ascii="Times New Roman" w:hAnsi="Times New Roman"/>
          <w:b/>
          <w:sz w:val="20"/>
          <w:szCs w:val="20"/>
        </w:rPr>
        <w:t>General de Desarrollo Urbano y Medio Ambiente y se precisa la integración de tres miembros del Ayuntamiento.</w:t>
      </w:r>
    </w:p>
    <w:p w14:paraId="0AB7DEAF" w14:textId="77777777" w:rsidR="008260F7" w:rsidRPr="00496528" w:rsidRDefault="008260F7" w:rsidP="00A859EB">
      <w:pPr>
        <w:shd w:val="clear" w:color="auto" w:fill="FFFFFF"/>
        <w:jc w:val="both"/>
        <w:rPr>
          <w:rFonts w:ascii="Times New Roman" w:hAnsi="Times New Roman"/>
          <w:sz w:val="20"/>
          <w:szCs w:val="20"/>
        </w:rPr>
      </w:pPr>
    </w:p>
    <w:p w14:paraId="113DB6F3" w14:textId="720425B8" w:rsidR="00556BDD" w:rsidRPr="00496528" w:rsidRDefault="00556BDD" w:rsidP="00A859EB">
      <w:pPr>
        <w:shd w:val="clear" w:color="auto" w:fill="FFFFFF"/>
        <w:jc w:val="both"/>
        <w:rPr>
          <w:rFonts w:ascii="Times New Roman" w:hAnsi="Times New Roman"/>
          <w:b/>
          <w:color w:val="C45911"/>
          <w:sz w:val="24"/>
          <w:szCs w:val="24"/>
        </w:rPr>
      </w:pPr>
      <w:r w:rsidRPr="00496528">
        <w:rPr>
          <w:rFonts w:ascii="Times New Roman" w:hAnsi="Times New Roman"/>
          <w:b/>
          <w:color w:val="C45911"/>
          <w:sz w:val="24"/>
          <w:szCs w:val="24"/>
        </w:rPr>
        <w:t xml:space="preserve">2. </w:t>
      </w:r>
      <w:r w:rsidR="008260F7">
        <w:rPr>
          <w:rFonts w:ascii="Times New Roman" w:hAnsi="Times New Roman"/>
          <w:b/>
          <w:color w:val="C45911"/>
          <w:sz w:val="24"/>
          <w:szCs w:val="24"/>
        </w:rPr>
        <w:t>P</w:t>
      </w:r>
      <w:r w:rsidRPr="00496528">
        <w:rPr>
          <w:rFonts w:ascii="Times New Roman" w:hAnsi="Times New Roman"/>
          <w:b/>
          <w:color w:val="C45911"/>
          <w:sz w:val="24"/>
          <w:szCs w:val="24"/>
        </w:rPr>
        <w:t>anorama Económico y Financiero:</w:t>
      </w:r>
    </w:p>
    <w:p w14:paraId="2760C0F6" w14:textId="579A3E94" w:rsidR="00556BDD" w:rsidRPr="008260F7" w:rsidRDefault="003B58BE" w:rsidP="00A859EB">
      <w:pPr>
        <w:shd w:val="clear" w:color="auto" w:fill="FFFFFF"/>
        <w:jc w:val="both"/>
        <w:rPr>
          <w:rFonts w:ascii="Times New Roman" w:hAnsi="Times New Roman"/>
          <w:sz w:val="20"/>
          <w:szCs w:val="20"/>
        </w:rPr>
      </w:pPr>
      <w:r w:rsidRPr="00496528">
        <w:rPr>
          <w:rFonts w:ascii="Times New Roman" w:hAnsi="Times New Roman"/>
          <w:sz w:val="20"/>
          <w:szCs w:val="20"/>
        </w:rPr>
        <w:t>El panorama Económico y Financiero, está integrado por los</w:t>
      </w:r>
      <w:r w:rsidR="00593A5C" w:rsidRPr="00496528">
        <w:rPr>
          <w:rFonts w:ascii="Times New Roman" w:hAnsi="Times New Roman"/>
          <w:sz w:val="20"/>
          <w:szCs w:val="20"/>
        </w:rPr>
        <w:t xml:space="preserve"> bienes muebles e inmuebles de su propiedad; Las donaciones y aportaciones y demás liberalidades que reciba de los Gobiernos Federal, Estatal y Municipal; Las aportaciones, herencias, legados y donaciones que reciba de personas físicas o morales, oficiales o particulares; Las aportaciones que le destine el Ayuntamiento en su presupuesto anual; Los recursos provenientes de la prestación de servicios técnicos y administrativos, que sean acorde a su objeto; Los bienes y recursos que el Gobierno Municipal o cualquier Entidad de la Administración Pública Municipal le asigne o transfiera para el cumplimiento de su objeto; Los derechos y créditos que obtenga para el cumplimiento de su objeto; y, Los demás bienes muebles e inmuebles, concesiones, derechos e ingresos que obtenga por cualquier título legal.</w:t>
      </w:r>
    </w:p>
    <w:p w14:paraId="129436FE" w14:textId="15DEECEE" w:rsidR="00556BDD" w:rsidRPr="00496528" w:rsidRDefault="008260F7" w:rsidP="00A859EB">
      <w:pPr>
        <w:shd w:val="clear" w:color="auto" w:fill="FFFFFF"/>
        <w:jc w:val="both"/>
        <w:rPr>
          <w:rFonts w:ascii="Times New Roman" w:hAnsi="Times New Roman"/>
          <w:b/>
          <w:color w:val="C45911"/>
          <w:sz w:val="24"/>
          <w:szCs w:val="24"/>
        </w:rPr>
      </w:pPr>
      <w:r>
        <w:rPr>
          <w:rFonts w:ascii="Times New Roman" w:hAnsi="Times New Roman"/>
          <w:b/>
          <w:color w:val="C45911"/>
          <w:sz w:val="24"/>
          <w:szCs w:val="24"/>
        </w:rPr>
        <w:lastRenderedPageBreak/>
        <w:t>3</w:t>
      </w:r>
      <w:r w:rsidR="00556BDD" w:rsidRPr="00496528">
        <w:rPr>
          <w:rFonts w:ascii="Times New Roman" w:hAnsi="Times New Roman"/>
          <w:b/>
          <w:color w:val="C45911"/>
          <w:sz w:val="24"/>
          <w:szCs w:val="24"/>
        </w:rPr>
        <w:t>. Organización y Objeto Social:</w:t>
      </w:r>
    </w:p>
    <w:p w14:paraId="5B0E6FD6"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a) Objeto social.</w:t>
      </w:r>
    </w:p>
    <w:p w14:paraId="53E53C1C" w14:textId="77777777" w:rsidR="00957850" w:rsidRPr="00496528" w:rsidRDefault="00957850" w:rsidP="00A859EB">
      <w:pPr>
        <w:shd w:val="clear" w:color="auto" w:fill="FFFFFF"/>
        <w:jc w:val="both"/>
        <w:rPr>
          <w:rFonts w:ascii="Times New Roman" w:hAnsi="Times New Roman"/>
          <w:sz w:val="20"/>
          <w:szCs w:val="20"/>
        </w:rPr>
      </w:pPr>
      <w:r w:rsidRPr="00496528">
        <w:rPr>
          <w:rFonts w:ascii="Times New Roman" w:hAnsi="Times New Roman"/>
          <w:sz w:val="20"/>
          <w:szCs w:val="20"/>
        </w:rPr>
        <w:t>I.- Auxiliar al Ayuntamiento y al COPLADEMI, en el cumplimiento de las funciones que le confiere la</w:t>
      </w:r>
      <w:r w:rsidR="00BC3C7D" w:rsidRPr="00496528">
        <w:rPr>
          <w:rFonts w:ascii="Times New Roman" w:hAnsi="Times New Roman"/>
          <w:sz w:val="20"/>
          <w:szCs w:val="20"/>
        </w:rPr>
        <w:t xml:space="preserve"> Ley para el Gobierno y Administración de los Municipios del Estado de Guanajuato y la</w:t>
      </w:r>
      <w:r w:rsidRPr="00496528">
        <w:rPr>
          <w:rFonts w:ascii="Times New Roman" w:hAnsi="Times New Roman"/>
          <w:sz w:val="20"/>
          <w:szCs w:val="20"/>
        </w:rPr>
        <w:t xml:space="preserve"> </w:t>
      </w:r>
      <w:r w:rsidR="00BC3C7D" w:rsidRPr="00496528">
        <w:rPr>
          <w:rFonts w:ascii="Times New Roman" w:hAnsi="Times New Roman"/>
          <w:sz w:val="20"/>
          <w:szCs w:val="20"/>
        </w:rPr>
        <w:t>Ley de Planeación para el Estado de Guanajuato</w:t>
      </w:r>
      <w:r w:rsidRPr="00496528">
        <w:rPr>
          <w:rFonts w:ascii="Times New Roman" w:hAnsi="Times New Roman"/>
          <w:sz w:val="20"/>
          <w:szCs w:val="20"/>
        </w:rPr>
        <w:t>,</w:t>
      </w:r>
      <w:r w:rsidR="00BC3C7D" w:rsidRPr="00496528">
        <w:rPr>
          <w:rFonts w:ascii="Times New Roman" w:hAnsi="Times New Roman"/>
          <w:sz w:val="20"/>
          <w:szCs w:val="20"/>
        </w:rPr>
        <w:t xml:space="preserve"> entre </w:t>
      </w:r>
      <w:r w:rsidR="00350FC5" w:rsidRPr="00496528">
        <w:rPr>
          <w:rFonts w:ascii="Times New Roman" w:hAnsi="Times New Roman"/>
          <w:sz w:val="20"/>
          <w:szCs w:val="20"/>
        </w:rPr>
        <w:t>otras, en</w:t>
      </w:r>
      <w:r w:rsidRPr="00496528">
        <w:rPr>
          <w:rFonts w:ascii="Times New Roman" w:hAnsi="Times New Roman"/>
          <w:sz w:val="20"/>
          <w:szCs w:val="20"/>
        </w:rPr>
        <w:t xml:space="preserve"> materia de planeación, emitiendo opiniones y recomendaciones al propio Ayuntamiento, para que éste los discuta y apruebe en su caso;</w:t>
      </w:r>
    </w:p>
    <w:p w14:paraId="1C3FD012" w14:textId="77777777" w:rsidR="00957850" w:rsidRPr="00496528" w:rsidRDefault="00957850" w:rsidP="00A859EB">
      <w:pPr>
        <w:shd w:val="clear" w:color="auto" w:fill="FFFFFF"/>
        <w:jc w:val="both"/>
        <w:rPr>
          <w:rFonts w:ascii="Times New Roman" w:hAnsi="Times New Roman"/>
          <w:sz w:val="20"/>
          <w:szCs w:val="20"/>
        </w:rPr>
      </w:pPr>
      <w:r w:rsidRPr="00496528">
        <w:rPr>
          <w:rFonts w:ascii="Times New Roman" w:hAnsi="Times New Roman"/>
          <w:sz w:val="20"/>
          <w:szCs w:val="20"/>
        </w:rPr>
        <w:t>II.- Asesorar al Ayuntamiento y coadyuvar con él, en la Planeación armónica, integral y sustentable del Municipio de Irapuato, Guanajuato, con visión multidisciplinaria y de desarrollo a mediano y largo plazo;</w:t>
      </w:r>
    </w:p>
    <w:p w14:paraId="571E0A78" w14:textId="77777777" w:rsidR="00957850" w:rsidRPr="00496528" w:rsidRDefault="00957850" w:rsidP="00A859EB">
      <w:pPr>
        <w:shd w:val="clear" w:color="auto" w:fill="FFFFFF"/>
        <w:jc w:val="both"/>
        <w:rPr>
          <w:rFonts w:ascii="Times New Roman" w:hAnsi="Times New Roman"/>
          <w:sz w:val="20"/>
          <w:szCs w:val="20"/>
        </w:rPr>
      </w:pPr>
      <w:r w:rsidRPr="00496528">
        <w:rPr>
          <w:rFonts w:ascii="Times New Roman" w:hAnsi="Times New Roman"/>
          <w:sz w:val="20"/>
          <w:szCs w:val="20"/>
        </w:rPr>
        <w:t>III.- Asesorar técnicamente al Ayuntamiento y Dependencias de la Administración Pública Municipal, en la instrumentación y aplicación de normas que se deriven del Sistema Municipal de Planeación;</w:t>
      </w:r>
    </w:p>
    <w:p w14:paraId="368485D2" w14:textId="77777777" w:rsidR="00957850" w:rsidRPr="00496528" w:rsidRDefault="00957850" w:rsidP="00A859EB">
      <w:pPr>
        <w:shd w:val="clear" w:color="auto" w:fill="FFFFFF"/>
        <w:jc w:val="both"/>
        <w:rPr>
          <w:rFonts w:ascii="Times New Roman" w:hAnsi="Times New Roman"/>
          <w:sz w:val="20"/>
          <w:szCs w:val="20"/>
        </w:rPr>
      </w:pPr>
      <w:r w:rsidRPr="00496528">
        <w:rPr>
          <w:rFonts w:ascii="Times New Roman" w:hAnsi="Times New Roman"/>
          <w:sz w:val="20"/>
          <w:szCs w:val="20"/>
        </w:rPr>
        <w:t>IV.- Integrar líneas de acción que tiendan a lograr el desarrollo equilibrado del Municipio de Irapuato y el mejoramiento de las condiciones de vida de la población; considerando la preservación del equilibrio ecológico, la protección al ambiente y el aprovechamiento racional de los recursos naturales; y,</w:t>
      </w:r>
    </w:p>
    <w:p w14:paraId="150E962B" w14:textId="77777777" w:rsidR="00957850" w:rsidRPr="00496528" w:rsidRDefault="00957850" w:rsidP="00A859EB">
      <w:pPr>
        <w:shd w:val="clear" w:color="auto" w:fill="FFFFFF"/>
        <w:jc w:val="both"/>
        <w:rPr>
          <w:rFonts w:ascii="Times New Roman" w:hAnsi="Times New Roman"/>
          <w:sz w:val="20"/>
          <w:szCs w:val="20"/>
        </w:rPr>
      </w:pPr>
      <w:r w:rsidRPr="00496528">
        <w:rPr>
          <w:rFonts w:ascii="Times New Roman" w:hAnsi="Times New Roman"/>
          <w:sz w:val="20"/>
          <w:szCs w:val="20"/>
        </w:rPr>
        <w:t>V.- Difundir el Sistema Municipal de Planeación, los proyectos de investigación y los sistemas de información</w:t>
      </w:r>
    </w:p>
    <w:p w14:paraId="6BA3B108"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b) Principal actividad.</w:t>
      </w:r>
    </w:p>
    <w:p w14:paraId="01CB6FB4"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Planeación del Municipio de Irapuato.</w:t>
      </w:r>
    </w:p>
    <w:p w14:paraId="7489002A" w14:textId="77777777" w:rsidR="009973B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 xml:space="preserve">c) Ejercicio fiscal. </w:t>
      </w:r>
    </w:p>
    <w:p w14:paraId="46D838CE"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 xml:space="preserve">Enero a </w:t>
      </w:r>
      <w:r w:rsidR="000A7D20" w:rsidRPr="00496528">
        <w:rPr>
          <w:rFonts w:ascii="Times New Roman" w:hAnsi="Times New Roman"/>
          <w:sz w:val="20"/>
          <w:szCs w:val="20"/>
        </w:rPr>
        <w:t>diciembre</w:t>
      </w:r>
      <w:r w:rsidRPr="00496528">
        <w:rPr>
          <w:rFonts w:ascii="Times New Roman" w:hAnsi="Times New Roman"/>
          <w:sz w:val="20"/>
          <w:szCs w:val="20"/>
        </w:rPr>
        <w:t xml:space="preserve"> </w:t>
      </w:r>
      <w:r w:rsidR="000A7D20" w:rsidRPr="00496528">
        <w:rPr>
          <w:rFonts w:ascii="Times New Roman" w:hAnsi="Times New Roman"/>
          <w:sz w:val="20"/>
          <w:szCs w:val="20"/>
        </w:rPr>
        <w:t xml:space="preserve">del año </w:t>
      </w:r>
      <w:r w:rsidR="00024CC8" w:rsidRPr="00496528">
        <w:rPr>
          <w:rFonts w:ascii="Times New Roman" w:hAnsi="Times New Roman"/>
          <w:sz w:val="20"/>
          <w:szCs w:val="20"/>
        </w:rPr>
        <w:t>202</w:t>
      </w:r>
      <w:r w:rsidR="00BC3C7D" w:rsidRPr="00496528">
        <w:rPr>
          <w:rFonts w:ascii="Times New Roman" w:hAnsi="Times New Roman"/>
          <w:sz w:val="20"/>
          <w:szCs w:val="20"/>
        </w:rPr>
        <w:t>5</w:t>
      </w:r>
      <w:r w:rsidRPr="00496528">
        <w:rPr>
          <w:rFonts w:ascii="Times New Roman" w:hAnsi="Times New Roman"/>
          <w:sz w:val="20"/>
          <w:szCs w:val="20"/>
        </w:rPr>
        <w:t>.</w:t>
      </w:r>
    </w:p>
    <w:p w14:paraId="700816D1"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d) Régimen jurídico.</w:t>
      </w:r>
    </w:p>
    <w:p w14:paraId="016043EB"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 xml:space="preserve">Persona Moral </w:t>
      </w:r>
      <w:r w:rsidR="003B58BE" w:rsidRPr="00496528">
        <w:rPr>
          <w:rFonts w:ascii="Times New Roman" w:hAnsi="Times New Roman"/>
          <w:sz w:val="20"/>
          <w:szCs w:val="20"/>
        </w:rPr>
        <w:t>con f</w:t>
      </w:r>
      <w:r w:rsidRPr="00496528">
        <w:rPr>
          <w:rFonts w:ascii="Times New Roman" w:hAnsi="Times New Roman"/>
          <w:sz w:val="20"/>
          <w:szCs w:val="20"/>
        </w:rPr>
        <w:t>ines no lucrativos.</w:t>
      </w:r>
    </w:p>
    <w:p w14:paraId="651A48BD"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e) Consideraciones fiscales del ente:</w:t>
      </w:r>
    </w:p>
    <w:p w14:paraId="3C65679C"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La Secretaría de Hacienda y Crédito Público, en Servicio de la Administración Tributaria, y la Secretaría de Finanzas del Estado de Guanajuato.</w:t>
      </w:r>
      <w:r w:rsidR="00024CC8" w:rsidRPr="00496528">
        <w:rPr>
          <w:rFonts w:ascii="Times New Roman" w:hAnsi="Times New Roman"/>
          <w:sz w:val="20"/>
          <w:szCs w:val="20"/>
        </w:rPr>
        <w:t xml:space="preserve"> Es un E</w:t>
      </w:r>
      <w:r w:rsidRPr="00496528">
        <w:rPr>
          <w:rFonts w:ascii="Times New Roman" w:hAnsi="Times New Roman"/>
          <w:sz w:val="20"/>
          <w:szCs w:val="20"/>
        </w:rPr>
        <w:t>nte retenedor de</w:t>
      </w:r>
      <w:r w:rsidR="00024CC8" w:rsidRPr="00496528">
        <w:rPr>
          <w:rFonts w:ascii="Times New Roman" w:hAnsi="Times New Roman"/>
          <w:sz w:val="20"/>
          <w:szCs w:val="20"/>
        </w:rPr>
        <w:t>l</w:t>
      </w:r>
      <w:r w:rsidRPr="00496528">
        <w:rPr>
          <w:rFonts w:ascii="Times New Roman" w:hAnsi="Times New Roman"/>
          <w:sz w:val="20"/>
          <w:szCs w:val="20"/>
        </w:rPr>
        <w:t xml:space="preserve"> impuesto sobre la renta, por Salarios, Honorarios Asimilados a Salarios, </w:t>
      </w:r>
      <w:r w:rsidR="00024CC8" w:rsidRPr="00496528">
        <w:rPr>
          <w:rFonts w:ascii="Times New Roman" w:hAnsi="Times New Roman"/>
          <w:sz w:val="20"/>
          <w:szCs w:val="20"/>
        </w:rPr>
        <w:t>Honorarios Profesionales,</w:t>
      </w:r>
      <w:r w:rsidR="003634FD" w:rsidRPr="00496528">
        <w:rPr>
          <w:rFonts w:ascii="Times New Roman" w:hAnsi="Times New Roman"/>
          <w:sz w:val="20"/>
          <w:szCs w:val="20"/>
        </w:rPr>
        <w:t xml:space="preserve"> Régimen Simplificado de </w:t>
      </w:r>
      <w:r w:rsidR="00350FC5" w:rsidRPr="00496528">
        <w:rPr>
          <w:rFonts w:ascii="Times New Roman" w:hAnsi="Times New Roman"/>
          <w:sz w:val="20"/>
          <w:szCs w:val="20"/>
        </w:rPr>
        <w:t>Confianza,</w:t>
      </w:r>
      <w:r w:rsidR="003634FD" w:rsidRPr="00496528">
        <w:rPr>
          <w:rFonts w:ascii="Times New Roman" w:hAnsi="Times New Roman"/>
          <w:sz w:val="20"/>
          <w:szCs w:val="20"/>
        </w:rPr>
        <w:t xml:space="preserve"> </w:t>
      </w:r>
      <w:r w:rsidR="00350FC5" w:rsidRPr="00496528">
        <w:rPr>
          <w:rFonts w:ascii="Times New Roman" w:hAnsi="Times New Roman"/>
          <w:sz w:val="20"/>
          <w:szCs w:val="20"/>
        </w:rPr>
        <w:t>Régimen</w:t>
      </w:r>
      <w:r w:rsidR="00BC3C7D" w:rsidRPr="00496528">
        <w:rPr>
          <w:rFonts w:ascii="Times New Roman" w:hAnsi="Times New Roman"/>
          <w:sz w:val="20"/>
          <w:szCs w:val="20"/>
        </w:rPr>
        <w:t xml:space="preserve"> de Incorporación Fiscal, </w:t>
      </w:r>
      <w:r w:rsidRPr="00496528">
        <w:rPr>
          <w:rFonts w:ascii="Times New Roman" w:hAnsi="Times New Roman"/>
          <w:sz w:val="20"/>
          <w:szCs w:val="20"/>
        </w:rPr>
        <w:t xml:space="preserve">Declaración de Impuesto Valor Agregado, Declaración de Operaciones con </w:t>
      </w:r>
      <w:r w:rsidR="000A7D20" w:rsidRPr="00496528">
        <w:rPr>
          <w:rFonts w:ascii="Times New Roman" w:hAnsi="Times New Roman"/>
          <w:sz w:val="20"/>
          <w:szCs w:val="20"/>
        </w:rPr>
        <w:t>Terceros, retención de Cedular</w:t>
      </w:r>
      <w:r w:rsidR="00BC3C7D" w:rsidRPr="00496528">
        <w:rPr>
          <w:rFonts w:ascii="Times New Roman" w:hAnsi="Times New Roman"/>
          <w:sz w:val="20"/>
          <w:szCs w:val="20"/>
        </w:rPr>
        <w:t xml:space="preserve"> ISR</w:t>
      </w:r>
      <w:r w:rsidR="000A7D20" w:rsidRPr="00496528">
        <w:rPr>
          <w:rFonts w:ascii="Times New Roman" w:hAnsi="Times New Roman"/>
          <w:sz w:val="20"/>
          <w:szCs w:val="20"/>
        </w:rPr>
        <w:t xml:space="preserve"> y pago de </w:t>
      </w:r>
      <w:r w:rsidRPr="00496528">
        <w:rPr>
          <w:rFonts w:ascii="Times New Roman" w:hAnsi="Times New Roman"/>
          <w:sz w:val="20"/>
          <w:szCs w:val="20"/>
        </w:rPr>
        <w:t>Cedular de Nómina.</w:t>
      </w:r>
    </w:p>
    <w:p w14:paraId="19448EA9"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f) Estructura organizacional básica.</w:t>
      </w:r>
    </w:p>
    <w:p w14:paraId="7621ABB4" w14:textId="77777777" w:rsidR="00556BDD" w:rsidRPr="00496528" w:rsidRDefault="000A7D20" w:rsidP="00A859EB">
      <w:pPr>
        <w:shd w:val="clear" w:color="auto" w:fill="FFFFFF"/>
        <w:jc w:val="both"/>
        <w:rPr>
          <w:rFonts w:ascii="Times New Roman" w:hAnsi="Times New Roman"/>
          <w:b/>
          <w:i/>
          <w:sz w:val="20"/>
          <w:szCs w:val="20"/>
        </w:rPr>
      </w:pPr>
      <w:r w:rsidRPr="00496528">
        <w:rPr>
          <w:rFonts w:ascii="Times New Roman" w:hAnsi="Times New Roman"/>
          <w:b/>
          <w:sz w:val="20"/>
          <w:szCs w:val="20"/>
        </w:rPr>
        <w:t>"</w:t>
      </w:r>
      <w:r w:rsidRPr="00496528">
        <w:rPr>
          <w:rFonts w:ascii="Times New Roman" w:hAnsi="Times New Roman"/>
          <w:sz w:val="20"/>
          <w:szCs w:val="20"/>
        </w:rPr>
        <w:t>EI Instituto" está gobernado por un Consejo Directivo, compuesto de tres</w:t>
      </w:r>
      <w:r w:rsidR="009973BD" w:rsidRPr="00496528">
        <w:rPr>
          <w:rFonts w:ascii="Times New Roman" w:hAnsi="Times New Roman"/>
          <w:sz w:val="20"/>
          <w:szCs w:val="20"/>
        </w:rPr>
        <w:t xml:space="preserve"> integrantes del Ayuntamiento</w:t>
      </w:r>
      <w:r w:rsidR="00465044" w:rsidRPr="00496528">
        <w:rPr>
          <w:rFonts w:ascii="Times New Roman" w:hAnsi="Times New Roman"/>
          <w:sz w:val="20"/>
          <w:szCs w:val="20"/>
        </w:rPr>
        <w:t>,</w:t>
      </w:r>
      <w:r w:rsidRPr="00496528">
        <w:rPr>
          <w:rFonts w:ascii="Times New Roman" w:hAnsi="Times New Roman"/>
          <w:sz w:val="20"/>
          <w:szCs w:val="20"/>
        </w:rPr>
        <w:t xml:space="preserve"> </w:t>
      </w:r>
      <w:r w:rsidR="009973BD" w:rsidRPr="00496528">
        <w:rPr>
          <w:rFonts w:ascii="Times New Roman" w:hAnsi="Times New Roman"/>
          <w:sz w:val="20"/>
          <w:szCs w:val="20"/>
        </w:rPr>
        <w:t xml:space="preserve">dos miembros de la Administración </w:t>
      </w:r>
      <w:r w:rsidR="00350FC5" w:rsidRPr="00496528">
        <w:rPr>
          <w:rFonts w:ascii="Times New Roman" w:hAnsi="Times New Roman"/>
          <w:sz w:val="20"/>
          <w:szCs w:val="20"/>
        </w:rPr>
        <w:t>Pública</w:t>
      </w:r>
      <w:r w:rsidR="009973BD" w:rsidRPr="00496528">
        <w:rPr>
          <w:rFonts w:ascii="Times New Roman" w:hAnsi="Times New Roman"/>
          <w:sz w:val="20"/>
          <w:szCs w:val="20"/>
        </w:rPr>
        <w:t xml:space="preserve"> Municipal que serán </w:t>
      </w:r>
      <w:r w:rsidRPr="00496528">
        <w:rPr>
          <w:rFonts w:ascii="Times New Roman" w:hAnsi="Times New Roman"/>
          <w:sz w:val="20"/>
          <w:szCs w:val="20"/>
        </w:rPr>
        <w:t>las Direcciones</w:t>
      </w:r>
      <w:r w:rsidR="00CD4F67" w:rsidRPr="00496528">
        <w:rPr>
          <w:rFonts w:ascii="Times New Roman" w:hAnsi="Times New Roman"/>
          <w:sz w:val="20"/>
          <w:szCs w:val="20"/>
        </w:rPr>
        <w:t xml:space="preserve"> Generales </w:t>
      </w:r>
      <w:r w:rsidRPr="00496528">
        <w:rPr>
          <w:rFonts w:ascii="Times New Roman" w:hAnsi="Times New Roman"/>
          <w:sz w:val="20"/>
          <w:szCs w:val="20"/>
        </w:rPr>
        <w:t xml:space="preserve">de </w:t>
      </w:r>
      <w:r w:rsidR="009973BD" w:rsidRPr="00496528">
        <w:rPr>
          <w:rFonts w:ascii="Times New Roman" w:hAnsi="Times New Roman"/>
          <w:sz w:val="20"/>
          <w:szCs w:val="20"/>
        </w:rPr>
        <w:t xml:space="preserve">Programación y </w:t>
      </w:r>
      <w:r w:rsidRPr="00496528">
        <w:rPr>
          <w:rFonts w:ascii="Times New Roman" w:hAnsi="Times New Roman"/>
          <w:sz w:val="20"/>
          <w:szCs w:val="20"/>
        </w:rPr>
        <w:t>Desarrollo Gubernamental y</w:t>
      </w:r>
      <w:r w:rsidR="00CD4F67" w:rsidRPr="00496528">
        <w:rPr>
          <w:rFonts w:ascii="Times New Roman" w:hAnsi="Times New Roman"/>
          <w:sz w:val="20"/>
          <w:szCs w:val="20"/>
        </w:rPr>
        <w:t xml:space="preserve"> </w:t>
      </w:r>
      <w:r w:rsidR="009973BD" w:rsidRPr="00496528">
        <w:rPr>
          <w:rFonts w:ascii="Times New Roman" w:hAnsi="Times New Roman"/>
          <w:sz w:val="20"/>
          <w:szCs w:val="20"/>
        </w:rPr>
        <w:t xml:space="preserve">la de </w:t>
      </w:r>
      <w:r w:rsidR="00CD4F67" w:rsidRPr="00496528">
        <w:rPr>
          <w:rFonts w:ascii="Times New Roman" w:hAnsi="Times New Roman"/>
          <w:sz w:val="20"/>
          <w:szCs w:val="20"/>
        </w:rPr>
        <w:t>Des</w:t>
      </w:r>
      <w:r w:rsidR="00F50FE0" w:rsidRPr="00496528">
        <w:rPr>
          <w:rFonts w:ascii="Times New Roman" w:hAnsi="Times New Roman"/>
          <w:sz w:val="20"/>
          <w:szCs w:val="20"/>
        </w:rPr>
        <w:t>arrollo Urbano y Medio Ambiente</w:t>
      </w:r>
      <w:r w:rsidR="00BC3C7D" w:rsidRPr="00496528">
        <w:rPr>
          <w:rFonts w:ascii="Times New Roman" w:hAnsi="Times New Roman"/>
          <w:sz w:val="20"/>
          <w:szCs w:val="20"/>
        </w:rPr>
        <w:t xml:space="preserve">, además de diez Consejeros </w:t>
      </w:r>
      <w:r w:rsidR="00350FC5" w:rsidRPr="00496528">
        <w:rPr>
          <w:rFonts w:ascii="Times New Roman" w:hAnsi="Times New Roman"/>
          <w:sz w:val="20"/>
          <w:szCs w:val="20"/>
        </w:rPr>
        <w:t>Ciudadanos</w:t>
      </w:r>
      <w:r w:rsidR="00F50FE0" w:rsidRPr="00496528">
        <w:rPr>
          <w:rFonts w:ascii="Times New Roman" w:hAnsi="Times New Roman"/>
          <w:sz w:val="20"/>
          <w:szCs w:val="20"/>
        </w:rPr>
        <w:t>;</w:t>
      </w:r>
      <w:r w:rsidR="00CD4F67" w:rsidRPr="00496528">
        <w:rPr>
          <w:rFonts w:ascii="Times New Roman" w:hAnsi="Times New Roman"/>
          <w:sz w:val="20"/>
          <w:szCs w:val="20"/>
        </w:rPr>
        <w:t xml:space="preserve"> </w:t>
      </w:r>
      <w:r w:rsidRPr="00496528">
        <w:rPr>
          <w:rFonts w:ascii="Times New Roman" w:hAnsi="Times New Roman"/>
          <w:sz w:val="20"/>
          <w:szCs w:val="20"/>
        </w:rPr>
        <w:t xml:space="preserve"> el Director General funge como </w:t>
      </w:r>
      <w:r w:rsidR="009973BD" w:rsidRPr="00496528">
        <w:rPr>
          <w:rFonts w:ascii="Times New Roman" w:hAnsi="Times New Roman"/>
          <w:sz w:val="20"/>
          <w:szCs w:val="20"/>
        </w:rPr>
        <w:t xml:space="preserve">Secretario Técnico y </w:t>
      </w:r>
      <w:r w:rsidRPr="00496528">
        <w:rPr>
          <w:rFonts w:ascii="Times New Roman" w:hAnsi="Times New Roman"/>
          <w:sz w:val="20"/>
          <w:szCs w:val="20"/>
        </w:rPr>
        <w:t>Representante Legal</w:t>
      </w:r>
      <w:r w:rsidR="00F50FE0" w:rsidRPr="00496528">
        <w:rPr>
          <w:rFonts w:ascii="Times New Roman" w:hAnsi="Times New Roman"/>
          <w:sz w:val="20"/>
          <w:szCs w:val="20"/>
        </w:rPr>
        <w:t xml:space="preserve"> y </w:t>
      </w:r>
      <w:r w:rsidRPr="00496528">
        <w:rPr>
          <w:rFonts w:ascii="Times New Roman" w:hAnsi="Times New Roman"/>
          <w:sz w:val="20"/>
          <w:szCs w:val="20"/>
        </w:rPr>
        <w:t>para el cumplimiento de sus fines, contará</w:t>
      </w:r>
      <w:r w:rsidR="00F50FE0" w:rsidRPr="00496528">
        <w:rPr>
          <w:rFonts w:ascii="Times New Roman" w:hAnsi="Times New Roman"/>
          <w:sz w:val="20"/>
          <w:szCs w:val="20"/>
        </w:rPr>
        <w:t xml:space="preserve"> con las siguientes</w:t>
      </w:r>
      <w:r w:rsidR="009973BD" w:rsidRPr="00496528">
        <w:rPr>
          <w:rFonts w:ascii="Times New Roman" w:hAnsi="Times New Roman"/>
          <w:sz w:val="20"/>
          <w:szCs w:val="20"/>
        </w:rPr>
        <w:t xml:space="preserve">: </w:t>
      </w:r>
      <w:r w:rsidR="00F50FE0" w:rsidRPr="00496528">
        <w:rPr>
          <w:rFonts w:ascii="Times New Roman" w:hAnsi="Times New Roman"/>
          <w:sz w:val="20"/>
          <w:szCs w:val="20"/>
        </w:rPr>
        <w:t xml:space="preserve"> </w:t>
      </w:r>
      <w:r w:rsidRPr="00496528">
        <w:rPr>
          <w:rFonts w:ascii="Times New Roman" w:hAnsi="Times New Roman"/>
          <w:sz w:val="20"/>
          <w:szCs w:val="20"/>
        </w:rPr>
        <w:t xml:space="preserve">Dirección de </w:t>
      </w:r>
      <w:r w:rsidR="00F50FE0" w:rsidRPr="00496528">
        <w:rPr>
          <w:rFonts w:ascii="Times New Roman" w:hAnsi="Times New Roman"/>
          <w:sz w:val="20"/>
          <w:szCs w:val="20"/>
        </w:rPr>
        <w:t xml:space="preserve">Gestión de Planeación Municipal, </w:t>
      </w:r>
      <w:r w:rsidRPr="00496528">
        <w:rPr>
          <w:rFonts w:ascii="Times New Roman" w:hAnsi="Times New Roman"/>
          <w:sz w:val="20"/>
          <w:szCs w:val="20"/>
        </w:rPr>
        <w:t xml:space="preserve"> Direc</w:t>
      </w:r>
      <w:r w:rsidR="00F50FE0" w:rsidRPr="00496528">
        <w:rPr>
          <w:rFonts w:ascii="Times New Roman" w:hAnsi="Times New Roman"/>
          <w:sz w:val="20"/>
          <w:szCs w:val="20"/>
        </w:rPr>
        <w:t xml:space="preserve">ción  de Procesos de Planeación, Dirección de Vinculación, </w:t>
      </w:r>
      <w:r w:rsidRPr="00496528">
        <w:rPr>
          <w:rFonts w:ascii="Times New Roman" w:hAnsi="Times New Roman"/>
          <w:sz w:val="20"/>
          <w:szCs w:val="20"/>
        </w:rPr>
        <w:t xml:space="preserve"> Dirección de </w:t>
      </w:r>
      <w:r w:rsidR="00792567" w:rsidRPr="00496528">
        <w:rPr>
          <w:rFonts w:ascii="Times New Roman" w:hAnsi="Times New Roman"/>
          <w:sz w:val="20"/>
          <w:szCs w:val="20"/>
        </w:rPr>
        <w:t>Geo estadística</w:t>
      </w:r>
      <w:r w:rsidR="00F50FE0" w:rsidRPr="00496528">
        <w:rPr>
          <w:rFonts w:ascii="Times New Roman" w:hAnsi="Times New Roman"/>
          <w:sz w:val="20"/>
          <w:szCs w:val="20"/>
        </w:rPr>
        <w:t xml:space="preserve"> y Cartografía y la </w:t>
      </w:r>
      <w:r w:rsidRPr="00496528">
        <w:rPr>
          <w:rFonts w:ascii="Times New Roman" w:hAnsi="Times New Roman"/>
          <w:sz w:val="20"/>
          <w:szCs w:val="20"/>
        </w:rPr>
        <w:t>Dirección de Sistemas de Información.</w:t>
      </w:r>
      <w:r w:rsidR="00085157" w:rsidRPr="00496528">
        <w:rPr>
          <w:rFonts w:ascii="Times New Roman" w:hAnsi="Times New Roman"/>
          <w:sz w:val="20"/>
          <w:szCs w:val="20"/>
        </w:rPr>
        <w:t xml:space="preserve"> </w:t>
      </w:r>
      <w:r w:rsidR="00556BDD" w:rsidRPr="00496528">
        <w:rPr>
          <w:rFonts w:ascii="Times New Roman" w:hAnsi="Times New Roman"/>
          <w:b/>
          <w:i/>
          <w:sz w:val="20"/>
          <w:szCs w:val="20"/>
        </w:rPr>
        <w:t>*Anexar organigrama de la entidad</w:t>
      </w:r>
      <w:r w:rsidR="00E52055" w:rsidRPr="00496528">
        <w:rPr>
          <w:rFonts w:ascii="Times New Roman" w:hAnsi="Times New Roman"/>
          <w:b/>
          <w:i/>
          <w:sz w:val="20"/>
          <w:szCs w:val="20"/>
        </w:rPr>
        <w:t xml:space="preserve"> (Ultima </w:t>
      </w:r>
      <w:r w:rsidR="00350FC5" w:rsidRPr="00496528">
        <w:rPr>
          <w:rFonts w:ascii="Times New Roman" w:hAnsi="Times New Roman"/>
          <w:b/>
          <w:i/>
          <w:sz w:val="20"/>
          <w:szCs w:val="20"/>
        </w:rPr>
        <w:t>página</w:t>
      </w:r>
      <w:r w:rsidR="00E52055" w:rsidRPr="00496528">
        <w:rPr>
          <w:rFonts w:ascii="Times New Roman" w:hAnsi="Times New Roman"/>
          <w:b/>
          <w:i/>
          <w:sz w:val="20"/>
          <w:szCs w:val="20"/>
        </w:rPr>
        <w:t>)</w:t>
      </w:r>
      <w:r w:rsidR="00556BDD" w:rsidRPr="00496528">
        <w:rPr>
          <w:rFonts w:ascii="Times New Roman" w:hAnsi="Times New Roman"/>
          <w:b/>
          <w:i/>
          <w:sz w:val="20"/>
          <w:szCs w:val="20"/>
        </w:rPr>
        <w:t>.</w:t>
      </w:r>
    </w:p>
    <w:p w14:paraId="04C50F15" w14:textId="77777777" w:rsidR="00556BDD" w:rsidRPr="00496528" w:rsidRDefault="00556BDD" w:rsidP="00A859EB">
      <w:pPr>
        <w:shd w:val="clear" w:color="auto" w:fill="FFFFFF"/>
        <w:jc w:val="both"/>
        <w:rPr>
          <w:rFonts w:ascii="Times New Roman" w:hAnsi="Times New Roman"/>
          <w:b/>
          <w:sz w:val="20"/>
          <w:szCs w:val="20"/>
        </w:rPr>
      </w:pPr>
      <w:r w:rsidRPr="00496528">
        <w:rPr>
          <w:rFonts w:ascii="Times New Roman" w:hAnsi="Times New Roman"/>
          <w:sz w:val="20"/>
          <w:szCs w:val="20"/>
        </w:rPr>
        <w:t>g) Fideicomisos, mandatos y análogos de los cuales es fideicomitente o fiduciario.</w:t>
      </w:r>
      <w:r w:rsidR="00E52055" w:rsidRPr="00496528">
        <w:rPr>
          <w:rFonts w:ascii="Times New Roman" w:hAnsi="Times New Roman"/>
          <w:sz w:val="20"/>
          <w:szCs w:val="20"/>
        </w:rPr>
        <w:t xml:space="preserve"> </w:t>
      </w:r>
      <w:r w:rsidR="00E52055" w:rsidRPr="00496528">
        <w:rPr>
          <w:rFonts w:ascii="Times New Roman" w:hAnsi="Times New Roman"/>
          <w:b/>
          <w:sz w:val="20"/>
          <w:szCs w:val="20"/>
        </w:rPr>
        <w:t>Esta nota no aplica al ente Público.</w:t>
      </w:r>
    </w:p>
    <w:p w14:paraId="16E04151"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Sin fideicomisos.</w:t>
      </w:r>
    </w:p>
    <w:p w14:paraId="34368C1B" w14:textId="7DDF5D57" w:rsidR="00556BDD" w:rsidRPr="00496528" w:rsidRDefault="008260F7" w:rsidP="00A859EB">
      <w:pPr>
        <w:shd w:val="clear" w:color="auto" w:fill="FFFFFF"/>
        <w:jc w:val="both"/>
        <w:rPr>
          <w:rFonts w:ascii="Times New Roman" w:hAnsi="Times New Roman"/>
          <w:b/>
          <w:color w:val="C45911"/>
          <w:sz w:val="24"/>
          <w:szCs w:val="24"/>
        </w:rPr>
      </w:pPr>
      <w:r>
        <w:rPr>
          <w:rFonts w:ascii="Times New Roman" w:hAnsi="Times New Roman"/>
          <w:b/>
          <w:color w:val="C45911"/>
          <w:sz w:val="24"/>
          <w:szCs w:val="24"/>
        </w:rPr>
        <w:lastRenderedPageBreak/>
        <w:t>4</w:t>
      </w:r>
      <w:r w:rsidR="00556BDD" w:rsidRPr="00496528">
        <w:rPr>
          <w:rFonts w:ascii="Times New Roman" w:hAnsi="Times New Roman"/>
          <w:b/>
          <w:color w:val="C45911"/>
          <w:sz w:val="24"/>
          <w:szCs w:val="24"/>
        </w:rPr>
        <w:t>. Bases de Preparación de los Estados Financieros:</w:t>
      </w:r>
    </w:p>
    <w:p w14:paraId="2BA9ACD2" w14:textId="77777777" w:rsidR="00556BDD" w:rsidRPr="00496528" w:rsidRDefault="00C07A35" w:rsidP="00A859EB">
      <w:pPr>
        <w:shd w:val="clear" w:color="auto" w:fill="FFFFFF"/>
        <w:jc w:val="both"/>
        <w:rPr>
          <w:rFonts w:ascii="Times New Roman" w:hAnsi="Times New Roman"/>
          <w:sz w:val="20"/>
          <w:szCs w:val="20"/>
        </w:rPr>
      </w:pPr>
      <w:r w:rsidRPr="00496528">
        <w:rPr>
          <w:rFonts w:ascii="Times New Roman" w:hAnsi="Times New Roman"/>
          <w:sz w:val="20"/>
          <w:szCs w:val="20"/>
        </w:rPr>
        <w:t>a) S</w:t>
      </w:r>
      <w:r w:rsidR="00556BDD" w:rsidRPr="00496528">
        <w:rPr>
          <w:rFonts w:ascii="Times New Roman" w:hAnsi="Times New Roman"/>
          <w:sz w:val="20"/>
          <w:szCs w:val="20"/>
        </w:rPr>
        <w:t xml:space="preserve">e </w:t>
      </w:r>
      <w:r w:rsidR="004B187B" w:rsidRPr="00496528">
        <w:rPr>
          <w:rFonts w:ascii="Times New Roman" w:hAnsi="Times New Roman"/>
          <w:sz w:val="20"/>
          <w:szCs w:val="20"/>
        </w:rPr>
        <w:t xml:space="preserve">observa la Ley General de Contabilidad Gubernamental y </w:t>
      </w:r>
      <w:r w:rsidR="00556BDD" w:rsidRPr="00496528">
        <w:rPr>
          <w:rFonts w:ascii="Times New Roman" w:hAnsi="Times New Roman"/>
          <w:sz w:val="20"/>
          <w:szCs w:val="20"/>
        </w:rPr>
        <w:t xml:space="preserve">la normatividad emitida por el CONAC y las disposiciones </w:t>
      </w:r>
      <w:r w:rsidR="004B187B" w:rsidRPr="00496528">
        <w:rPr>
          <w:rFonts w:ascii="Times New Roman" w:hAnsi="Times New Roman"/>
          <w:sz w:val="20"/>
          <w:szCs w:val="20"/>
        </w:rPr>
        <w:t xml:space="preserve">correlacionadas </w:t>
      </w:r>
      <w:r w:rsidR="00556BDD" w:rsidRPr="00496528">
        <w:rPr>
          <w:rFonts w:ascii="Times New Roman" w:hAnsi="Times New Roman"/>
          <w:sz w:val="20"/>
          <w:szCs w:val="20"/>
        </w:rPr>
        <w:t>legales aplicables</w:t>
      </w:r>
      <w:r w:rsidR="001956D9" w:rsidRPr="00496528">
        <w:rPr>
          <w:rFonts w:ascii="Times New Roman" w:hAnsi="Times New Roman"/>
          <w:sz w:val="20"/>
          <w:szCs w:val="20"/>
        </w:rPr>
        <w:t>.</w:t>
      </w:r>
    </w:p>
    <w:p w14:paraId="2757B2EE"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A78289A" w14:textId="77777777" w:rsidR="001D2F91" w:rsidRPr="00496528" w:rsidRDefault="001D2F91" w:rsidP="001D2F91">
      <w:pPr>
        <w:shd w:val="clear" w:color="auto" w:fill="FFFFFF"/>
        <w:jc w:val="both"/>
        <w:rPr>
          <w:rFonts w:ascii="Times New Roman" w:hAnsi="Times New Roman"/>
          <w:b/>
          <w:i/>
          <w:sz w:val="20"/>
          <w:szCs w:val="20"/>
        </w:rPr>
      </w:pPr>
      <w:r w:rsidRPr="00496528">
        <w:rPr>
          <w:rFonts w:ascii="Times New Roman" w:hAnsi="Times New Roman"/>
          <w:b/>
          <w:i/>
          <w:sz w:val="20"/>
          <w:szCs w:val="20"/>
        </w:rPr>
        <w:t>El procedimiento utilizado en la preparación de la información contable en periodo que se informa es en base al Costo Histórico.</w:t>
      </w:r>
    </w:p>
    <w:p w14:paraId="1EBA9B7A"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c) Postulados básicos.</w:t>
      </w:r>
    </w:p>
    <w:p w14:paraId="77EB50A3" w14:textId="77777777" w:rsidR="001D2F91" w:rsidRPr="00496528" w:rsidRDefault="00085157" w:rsidP="001D2F91">
      <w:pPr>
        <w:shd w:val="clear" w:color="auto" w:fill="FFFFFF"/>
        <w:jc w:val="both"/>
        <w:rPr>
          <w:rFonts w:ascii="Times New Roman" w:hAnsi="Times New Roman"/>
          <w:b/>
          <w:sz w:val="20"/>
          <w:szCs w:val="20"/>
        </w:rPr>
      </w:pPr>
      <w:r w:rsidRPr="00496528">
        <w:rPr>
          <w:rFonts w:ascii="Times New Roman" w:hAnsi="Times New Roman"/>
          <w:b/>
          <w:sz w:val="20"/>
          <w:szCs w:val="20"/>
        </w:rPr>
        <w:t>Sustancia Económica</w:t>
      </w:r>
    </w:p>
    <w:p w14:paraId="19817BB2" w14:textId="77777777" w:rsidR="001D2F91" w:rsidRPr="00496528" w:rsidRDefault="001D2F91" w:rsidP="001D2F91">
      <w:pPr>
        <w:shd w:val="clear" w:color="auto" w:fill="FFFFFF"/>
        <w:jc w:val="both"/>
        <w:rPr>
          <w:rFonts w:ascii="Times New Roman" w:hAnsi="Times New Roman"/>
          <w:bCs/>
          <w:sz w:val="20"/>
          <w:szCs w:val="20"/>
        </w:rPr>
      </w:pPr>
      <w:r w:rsidRPr="00496528">
        <w:rPr>
          <w:rFonts w:ascii="Times New Roman" w:hAnsi="Times New Roman"/>
          <w:bCs/>
          <w:sz w:val="20"/>
          <w:szCs w:val="20"/>
        </w:rPr>
        <w:t>Se realizó el reconocimiento contable de las transacciones, transformaciones internas y otros eventos, que afectan económicamente al organismo público y delimitan la operación del Sistema de Contabilidad.</w:t>
      </w:r>
    </w:p>
    <w:p w14:paraId="17732685" w14:textId="77777777" w:rsidR="001D2F91" w:rsidRPr="00496528" w:rsidRDefault="001D2F91" w:rsidP="001D2F91">
      <w:pPr>
        <w:shd w:val="clear" w:color="auto" w:fill="FFFFFF"/>
        <w:jc w:val="both"/>
        <w:rPr>
          <w:rFonts w:ascii="Times New Roman" w:hAnsi="Times New Roman"/>
          <w:bCs/>
          <w:sz w:val="20"/>
          <w:szCs w:val="20"/>
        </w:rPr>
      </w:pPr>
      <w:r w:rsidRPr="00496528">
        <w:rPr>
          <w:rFonts w:ascii="Times New Roman" w:hAnsi="Times New Roman"/>
          <w:bCs/>
          <w:sz w:val="20"/>
          <w:szCs w:val="20"/>
        </w:rPr>
        <w:t>Se estructuró de tal manera que permite la delimitación y operación del organismo público, apegándose a la normatividad, reflejando la situación económica contable de las transacciones, que integran la información, proporcionando los elementos necesarios para una adecuada toma de decisiones.</w:t>
      </w:r>
    </w:p>
    <w:p w14:paraId="37998167" w14:textId="77777777" w:rsidR="001D2F91" w:rsidRPr="00496528" w:rsidRDefault="00085157" w:rsidP="001D2F91">
      <w:pPr>
        <w:shd w:val="clear" w:color="auto" w:fill="FFFFFF"/>
        <w:jc w:val="both"/>
        <w:rPr>
          <w:rFonts w:ascii="Times New Roman" w:hAnsi="Times New Roman"/>
          <w:b/>
          <w:sz w:val="20"/>
          <w:szCs w:val="20"/>
        </w:rPr>
      </w:pPr>
      <w:r w:rsidRPr="00496528">
        <w:rPr>
          <w:rFonts w:ascii="Times New Roman" w:hAnsi="Times New Roman"/>
          <w:b/>
          <w:sz w:val="20"/>
          <w:szCs w:val="20"/>
        </w:rPr>
        <w:t>Ente Público</w:t>
      </w:r>
    </w:p>
    <w:p w14:paraId="17061207" w14:textId="77777777" w:rsidR="001D2F91" w:rsidRPr="00496528" w:rsidRDefault="001D2F91" w:rsidP="001D2F91">
      <w:pPr>
        <w:shd w:val="clear" w:color="auto" w:fill="FFFFFF"/>
        <w:jc w:val="both"/>
        <w:rPr>
          <w:rFonts w:ascii="Times New Roman" w:hAnsi="Times New Roman"/>
          <w:bCs/>
          <w:sz w:val="20"/>
          <w:szCs w:val="20"/>
        </w:rPr>
      </w:pPr>
      <w:r w:rsidRPr="00496528">
        <w:rPr>
          <w:rFonts w:ascii="Times New Roman" w:hAnsi="Times New Roman"/>
          <w:bCs/>
          <w:sz w:val="20"/>
          <w:szCs w:val="20"/>
        </w:rPr>
        <w:t>El organismo c</w:t>
      </w:r>
      <w:r w:rsidR="004F4E10" w:rsidRPr="00496528">
        <w:rPr>
          <w:rFonts w:ascii="Times New Roman" w:hAnsi="Times New Roman"/>
          <w:bCs/>
          <w:sz w:val="20"/>
          <w:szCs w:val="20"/>
        </w:rPr>
        <w:t>uenta con el Reglamento</w:t>
      </w:r>
      <w:r w:rsidRPr="00496528">
        <w:rPr>
          <w:rFonts w:ascii="Times New Roman" w:hAnsi="Times New Roman"/>
          <w:bCs/>
          <w:sz w:val="20"/>
          <w:szCs w:val="20"/>
        </w:rPr>
        <w:t>, en el que se establecen sus objetivos, su ámbito de acción y sus limitaciones; con atribuciones para asumir derechos y contraer obligaciones.</w:t>
      </w:r>
    </w:p>
    <w:p w14:paraId="5EEE6691" w14:textId="77777777" w:rsidR="001D2F91" w:rsidRPr="00496528" w:rsidRDefault="00085157" w:rsidP="001D2F91">
      <w:pPr>
        <w:shd w:val="clear" w:color="auto" w:fill="FFFFFF"/>
        <w:jc w:val="both"/>
        <w:rPr>
          <w:rFonts w:ascii="Times New Roman" w:hAnsi="Times New Roman"/>
          <w:b/>
          <w:sz w:val="20"/>
          <w:szCs w:val="20"/>
        </w:rPr>
      </w:pPr>
      <w:r w:rsidRPr="00496528">
        <w:rPr>
          <w:rFonts w:ascii="Times New Roman" w:hAnsi="Times New Roman"/>
          <w:b/>
          <w:sz w:val="20"/>
          <w:szCs w:val="20"/>
        </w:rPr>
        <w:t>Existencia Permanente</w:t>
      </w:r>
    </w:p>
    <w:p w14:paraId="7AE1A236" w14:textId="77777777" w:rsidR="001D2F91" w:rsidRPr="00496528" w:rsidRDefault="001D2F91" w:rsidP="001D2F91">
      <w:pPr>
        <w:shd w:val="clear" w:color="auto" w:fill="FFFFFF"/>
        <w:jc w:val="both"/>
        <w:rPr>
          <w:rFonts w:ascii="Times New Roman" w:hAnsi="Times New Roman"/>
          <w:bCs/>
          <w:sz w:val="20"/>
          <w:szCs w:val="20"/>
        </w:rPr>
      </w:pPr>
      <w:r w:rsidRPr="00496528">
        <w:rPr>
          <w:rFonts w:ascii="Times New Roman" w:hAnsi="Times New Roman"/>
          <w:bCs/>
          <w:sz w:val="20"/>
          <w:szCs w:val="20"/>
        </w:rPr>
        <w:t>La actividad del organismo público al no tener fecha de término se asume por tiempo indefinido, por lo que el sistema contable del organismo es considerado por el mismo periodo de vida.</w:t>
      </w:r>
    </w:p>
    <w:p w14:paraId="3D18F425" w14:textId="77777777" w:rsidR="001D2F91" w:rsidRPr="00496528" w:rsidRDefault="00085157" w:rsidP="001D2F91">
      <w:pPr>
        <w:shd w:val="clear" w:color="auto" w:fill="FFFFFF"/>
        <w:jc w:val="both"/>
        <w:rPr>
          <w:rFonts w:ascii="Times New Roman" w:hAnsi="Times New Roman"/>
          <w:b/>
          <w:sz w:val="20"/>
          <w:szCs w:val="20"/>
        </w:rPr>
      </w:pPr>
      <w:r w:rsidRPr="00496528">
        <w:rPr>
          <w:rFonts w:ascii="Times New Roman" w:hAnsi="Times New Roman"/>
          <w:b/>
          <w:sz w:val="20"/>
          <w:szCs w:val="20"/>
        </w:rPr>
        <w:t>Revelación suficiente</w:t>
      </w:r>
    </w:p>
    <w:p w14:paraId="015AF31B" w14:textId="77777777" w:rsidR="001D2F91" w:rsidRPr="00496528" w:rsidRDefault="001D2F91" w:rsidP="001D2F91">
      <w:pPr>
        <w:shd w:val="clear" w:color="auto" w:fill="FFFFFF"/>
        <w:jc w:val="both"/>
        <w:rPr>
          <w:rFonts w:ascii="Times New Roman" w:hAnsi="Times New Roman"/>
          <w:bCs/>
          <w:sz w:val="20"/>
          <w:szCs w:val="20"/>
        </w:rPr>
      </w:pPr>
      <w:r w:rsidRPr="00496528">
        <w:rPr>
          <w:rFonts w:ascii="Times New Roman" w:hAnsi="Times New Roman"/>
          <w:bCs/>
          <w:sz w:val="20"/>
          <w:szCs w:val="20"/>
        </w:rPr>
        <w:t>Los estados y la información financiera muestran amplia y claramente la situación financiera y los resultados del organismo.</w:t>
      </w:r>
    </w:p>
    <w:p w14:paraId="192D071C" w14:textId="77777777" w:rsidR="001D2F91" w:rsidRPr="00496528" w:rsidRDefault="00085157" w:rsidP="001D2F91">
      <w:pPr>
        <w:shd w:val="clear" w:color="auto" w:fill="FFFFFF"/>
        <w:jc w:val="both"/>
        <w:rPr>
          <w:rFonts w:ascii="Times New Roman" w:hAnsi="Times New Roman"/>
          <w:b/>
          <w:sz w:val="20"/>
          <w:szCs w:val="20"/>
        </w:rPr>
      </w:pPr>
      <w:r w:rsidRPr="00496528">
        <w:rPr>
          <w:rFonts w:ascii="Times New Roman" w:hAnsi="Times New Roman"/>
          <w:b/>
          <w:sz w:val="20"/>
          <w:szCs w:val="20"/>
        </w:rPr>
        <w:t>Importancia Relativa</w:t>
      </w:r>
    </w:p>
    <w:p w14:paraId="6F768EC4" w14:textId="77777777" w:rsidR="001D2F91" w:rsidRPr="00496528" w:rsidRDefault="00350FC5" w:rsidP="001D2F91">
      <w:pPr>
        <w:shd w:val="clear" w:color="auto" w:fill="FFFFFF"/>
        <w:jc w:val="both"/>
        <w:rPr>
          <w:rFonts w:ascii="Times New Roman" w:hAnsi="Times New Roman"/>
          <w:bCs/>
          <w:sz w:val="20"/>
          <w:szCs w:val="20"/>
        </w:rPr>
      </w:pPr>
      <w:r w:rsidRPr="00496528">
        <w:rPr>
          <w:rFonts w:ascii="Times New Roman" w:hAnsi="Times New Roman"/>
          <w:bCs/>
          <w:sz w:val="20"/>
          <w:szCs w:val="20"/>
        </w:rPr>
        <w:t>La información correspondiente al presente periodo muestra</w:t>
      </w:r>
      <w:r w:rsidR="001D2F91" w:rsidRPr="00496528">
        <w:rPr>
          <w:rFonts w:ascii="Times New Roman" w:hAnsi="Times New Roman"/>
          <w:bCs/>
          <w:sz w:val="20"/>
          <w:szCs w:val="20"/>
        </w:rPr>
        <w:t xml:space="preserve"> los aspectos más importantes de la entidad que fueron reconocidos contablemente.</w:t>
      </w:r>
    </w:p>
    <w:p w14:paraId="324FF97D" w14:textId="77777777" w:rsidR="001D2F91" w:rsidRPr="00496528" w:rsidRDefault="001D2F91" w:rsidP="001D2F91">
      <w:pPr>
        <w:shd w:val="clear" w:color="auto" w:fill="FFFFFF"/>
        <w:jc w:val="both"/>
        <w:rPr>
          <w:rFonts w:ascii="Times New Roman" w:hAnsi="Times New Roman"/>
          <w:b/>
          <w:sz w:val="20"/>
          <w:szCs w:val="20"/>
        </w:rPr>
      </w:pPr>
      <w:r w:rsidRPr="00496528">
        <w:rPr>
          <w:rFonts w:ascii="Times New Roman" w:hAnsi="Times New Roman"/>
          <w:b/>
          <w:sz w:val="20"/>
          <w:szCs w:val="20"/>
        </w:rPr>
        <w:t>R</w:t>
      </w:r>
      <w:r w:rsidR="00085157" w:rsidRPr="00496528">
        <w:rPr>
          <w:rFonts w:ascii="Times New Roman" w:hAnsi="Times New Roman"/>
          <w:b/>
          <w:sz w:val="20"/>
          <w:szCs w:val="20"/>
        </w:rPr>
        <w:t>egistro e Integración Presupuestaria</w:t>
      </w:r>
    </w:p>
    <w:p w14:paraId="41231171" w14:textId="77777777" w:rsidR="001D2F91" w:rsidRPr="00496528" w:rsidRDefault="001D2F91" w:rsidP="001D2F91">
      <w:pPr>
        <w:shd w:val="clear" w:color="auto" w:fill="FFFFFF"/>
        <w:jc w:val="both"/>
        <w:rPr>
          <w:rFonts w:ascii="Times New Roman" w:hAnsi="Times New Roman"/>
          <w:bCs/>
          <w:sz w:val="20"/>
          <w:szCs w:val="20"/>
        </w:rPr>
      </w:pPr>
      <w:r w:rsidRPr="00496528">
        <w:rPr>
          <w:rFonts w:ascii="Times New Roman" w:hAnsi="Times New Roman"/>
          <w:bCs/>
          <w:sz w:val="20"/>
          <w:szCs w:val="20"/>
        </w:rPr>
        <w:t>La información presupuestaria del organismo, se integran en la contabilidad en los mismos términos que se presentan en el Pronóstico de Ingresos y en el Presupuesto Egresos, de acuerdo a la naturaleza económica que le corresponde.</w:t>
      </w:r>
    </w:p>
    <w:p w14:paraId="7960FE81" w14:textId="77777777" w:rsidR="001D2F91" w:rsidRPr="00496528" w:rsidRDefault="001D2F91" w:rsidP="001D2F91">
      <w:pPr>
        <w:shd w:val="clear" w:color="auto" w:fill="FFFFFF"/>
        <w:jc w:val="both"/>
        <w:rPr>
          <w:rFonts w:ascii="Times New Roman" w:hAnsi="Times New Roman"/>
          <w:bCs/>
          <w:i/>
          <w:sz w:val="20"/>
          <w:szCs w:val="20"/>
        </w:rPr>
      </w:pPr>
      <w:r w:rsidRPr="00496528">
        <w:rPr>
          <w:rFonts w:ascii="Times New Roman" w:hAnsi="Times New Roman"/>
          <w:bCs/>
          <w:sz w:val="20"/>
          <w:szCs w:val="20"/>
        </w:rPr>
        <w:t>El registro presupuestario del ingreso y del egreso del organismo reflejados en la contabilidad, se consideran sus efectos patrimoniales y su vinculación con las etapas presupuestarias correspondientes</w:t>
      </w:r>
      <w:r w:rsidRPr="00496528">
        <w:rPr>
          <w:rFonts w:ascii="Times New Roman" w:hAnsi="Times New Roman"/>
          <w:bCs/>
          <w:i/>
          <w:sz w:val="20"/>
          <w:szCs w:val="20"/>
        </w:rPr>
        <w:t>.</w:t>
      </w:r>
    </w:p>
    <w:p w14:paraId="19108EA1" w14:textId="77777777" w:rsidR="001D2F91" w:rsidRPr="00496528" w:rsidRDefault="00085157" w:rsidP="001D2F91">
      <w:pPr>
        <w:shd w:val="clear" w:color="auto" w:fill="FFFFFF"/>
        <w:jc w:val="both"/>
        <w:rPr>
          <w:rFonts w:ascii="Times New Roman" w:hAnsi="Times New Roman"/>
          <w:b/>
          <w:sz w:val="20"/>
          <w:szCs w:val="20"/>
        </w:rPr>
      </w:pPr>
      <w:r w:rsidRPr="00496528">
        <w:rPr>
          <w:rFonts w:ascii="Times New Roman" w:hAnsi="Times New Roman"/>
          <w:b/>
          <w:sz w:val="20"/>
          <w:szCs w:val="20"/>
        </w:rPr>
        <w:t>Consolidación de la Información Financiera</w:t>
      </w:r>
    </w:p>
    <w:p w14:paraId="2B3C8264" w14:textId="77777777" w:rsidR="001D2F91" w:rsidRPr="00496528" w:rsidRDefault="001D2F91" w:rsidP="001D2F91">
      <w:pPr>
        <w:shd w:val="clear" w:color="auto" w:fill="FFFFFF"/>
        <w:jc w:val="both"/>
        <w:rPr>
          <w:rFonts w:ascii="Times New Roman" w:hAnsi="Times New Roman"/>
          <w:bCs/>
          <w:sz w:val="20"/>
          <w:szCs w:val="20"/>
        </w:rPr>
      </w:pPr>
      <w:r w:rsidRPr="00496528">
        <w:rPr>
          <w:rFonts w:ascii="Times New Roman" w:hAnsi="Times New Roman"/>
          <w:bCs/>
          <w:sz w:val="20"/>
          <w:szCs w:val="20"/>
        </w:rPr>
        <w:t>Los estados financieros del organismo presentar la situación financiera, los resultados de operación, el flujo de efectivo o los cambios en la situación financiera y las variaciones a la Hacienda Pública.</w:t>
      </w:r>
    </w:p>
    <w:p w14:paraId="4B63103E" w14:textId="77777777" w:rsidR="001D2F91" w:rsidRPr="00496528" w:rsidRDefault="001D2F91" w:rsidP="001D2F91">
      <w:pPr>
        <w:shd w:val="clear" w:color="auto" w:fill="FFFFFF"/>
        <w:jc w:val="both"/>
        <w:rPr>
          <w:rFonts w:ascii="Times New Roman" w:hAnsi="Times New Roman"/>
          <w:b/>
          <w:sz w:val="20"/>
          <w:szCs w:val="20"/>
        </w:rPr>
      </w:pPr>
      <w:r w:rsidRPr="00496528">
        <w:rPr>
          <w:rFonts w:ascii="Times New Roman" w:hAnsi="Times New Roman"/>
          <w:b/>
          <w:sz w:val="20"/>
          <w:szCs w:val="20"/>
        </w:rPr>
        <w:lastRenderedPageBreak/>
        <w:t>D</w:t>
      </w:r>
      <w:r w:rsidR="00085157" w:rsidRPr="00496528">
        <w:rPr>
          <w:rFonts w:ascii="Times New Roman" w:hAnsi="Times New Roman"/>
          <w:b/>
          <w:sz w:val="20"/>
          <w:szCs w:val="20"/>
        </w:rPr>
        <w:t xml:space="preserve">evengo Contable </w:t>
      </w:r>
    </w:p>
    <w:p w14:paraId="3272F32A" w14:textId="77777777" w:rsidR="001D2F91" w:rsidRPr="00496528" w:rsidRDefault="001D2F91" w:rsidP="001D2F91">
      <w:pPr>
        <w:shd w:val="clear" w:color="auto" w:fill="FFFFFF"/>
        <w:jc w:val="both"/>
        <w:rPr>
          <w:rFonts w:ascii="Times New Roman" w:hAnsi="Times New Roman"/>
          <w:bCs/>
          <w:sz w:val="20"/>
          <w:szCs w:val="20"/>
        </w:rPr>
      </w:pPr>
      <w:r w:rsidRPr="00496528">
        <w:rPr>
          <w:rFonts w:ascii="Times New Roman" w:hAnsi="Times New Roman"/>
          <w:bCs/>
          <w:sz w:val="20"/>
          <w:szCs w:val="20"/>
        </w:rPr>
        <w:t>Los registros contables del organismo se realizaron con base acumulativa. El ingreso devengado, es el momento contable que se realiza cuando existe jurídicamente el derecho de cobro, de los derechos, productos, aprovechamientos y otros ingresos. El gasto devengado, es el momento contable que refleja el reconocimiento de una obligación de pago a favor de terceros por la recepción de conformidad de bienes, servicios contratados.</w:t>
      </w:r>
    </w:p>
    <w:p w14:paraId="7EE76786" w14:textId="77777777" w:rsidR="001D2F91" w:rsidRPr="00496528" w:rsidRDefault="001D2F91" w:rsidP="001D2F91">
      <w:pPr>
        <w:shd w:val="clear" w:color="auto" w:fill="FFFFFF"/>
        <w:jc w:val="both"/>
        <w:rPr>
          <w:rFonts w:ascii="Times New Roman" w:hAnsi="Times New Roman"/>
          <w:b/>
          <w:sz w:val="20"/>
          <w:szCs w:val="20"/>
        </w:rPr>
      </w:pPr>
      <w:r w:rsidRPr="00496528">
        <w:rPr>
          <w:rFonts w:ascii="Times New Roman" w:hAnsi="Times New Roman"/>
          <w:b/>
          <w:sz w:val="20"/>
          <w:szCs w:val="20"/>
        </w:rPr>
        <w:t>P</w:t>
      </w:r>
      <w:r w:rsidR="00085157" w:rsidRPr="00496528">
        <w:rPr>
          <w:rFonts w:ascii="Times New Roman" w:hAnsi="Times New Roman"/>
          <w:b/>
          <w:sz w:val="20"/>
          <w:szCs w:val="20"/>
        </w:rPr>
        <w:t>eriodo Contable</w:t>
      </w:r>
    </w:p>
    <w:p w14:paraId="0E7B74A5" w14:textId="77777777" w:rsidR="001D2F91" w:rsidRPr="00496528" w:rsidRDefault="001050E0" w:rsidP="001D2F91">
      <w:pPr>
        <w:shd w:val="clear" w:color="auto" w:fill="FFFFFF"/>
        <w:jc w:val="both"/>
        <w:rPr>
          <w:rFonts w:ascii="Times New Roman" w:hAnsi="Times New Roman"/>
          <w:b/>
          <w:sz w:val="20"/>
          <w:szCs w:val="20"/>
        </w:rPr>
      </w:pPr>
      <w:r w:rsidRPr="00496528">
        <w:rPr>
          <w:rFonts w:ascii="Times New Roman" w:hAnsi="Times New Roman"/>
          <w:b/>
          <w:sz w:val="20"/>
          <w:szCs w:val="20"/>
        </w:rPr>
        <w:t>El periodo contable del Ente es igual al del año fiscal</w:t>
      </w:r>
      <w:r w:rsidR="00E26097" w:rsidRPr="00496528">
        <w:rPr>
          <w:rFonts w:ascii="Times New Roman" w:hAnsi="Times New Roman"/>
          <w:b/>
          <w:sz w:val="20"/>
          <w:szCs w:val="20"/>
        </w:rPr>
        <w:t>, correspondiendo</w:t>
      </w:r>
      <w:r w:rsidR="001D2F91" w:rsidRPr="00496528">
        <w:rPr>
          <w:rFonts w:ascii="Times New Roman" w:hAnsi="Times New Roman"/>
          <w:b/>
          <w:sz w:val="20"/>
          <w:szCs w:val="20"/>
        </w:rPr>
        <w:t xml:space="preserve"> al presente ejercicio </w:t>
      </w:r>
      <w:r w:rsidR="00B36DCF" w:rsidRPr="00496528">
        <w:rPr>
          <w:rFonts w:ascii="Times New Roman" w:hAnsi="Times New Roman"/>
          <w:b/>
          <w:sz w:val="20"/>
          <w:szCs w:val="20"/>
        </w:rPr>
        <w:t>202</w:t>
      </w:r>
      <w:r w:rsidR="000D597C" w:rsidRPr="00496528">
        <w:rPr>
          <w:rFonts w:ascii="Times New Roman" w:hAnsi="Times New Roman"/>
          <w:b/>
          <w:sz w:val="20"/>
          <w:szCs w:val="20"/>
        </w:rPr>
        <w:t>5</w:t>
      </w:r>
      <w:r w:rsidR="001D2F91" w:rsidRPr="00496528">
        <w:rPr>
          <w:rFonts w:ascii="Times New Roman" w:hAnsi="Times New Roman"/>
          <w:b/>
          <w:sz w:val="20"/>
          <w:szCs w:val="20"/>
        </w:rPr>
        <w:t>.</w:t>
      </w:r>
    </w:p>
    <w:p w14:paraId="3136A640" w14:textId="77777777" w:rsidR="001D2F91" w:rsidRPr="00496528" w:rsidRDefault="001D2F91" w:rsidP="001D2F91">
      <w:pPr>
        <w:shd w:val="clear" w:color="auto" w:fill="FFFFFF"/>
        <w:jc w:val="both"/>
        <w:rPr>
          <w:rFonts w:ascii="Times New Roman" w:hAnsi="Times New Roman"/>
          <w:b/>
          <w:sz w:val="20"/>
          <w:szCs w:val="20"/>
        </w:rPr>
      </w:pPr>
      <w:r w:rsidRPr="00496528">
        <w:rPr>
          <w:rFonts w:ascii="Times New Roman" w:hAnsi="Times New Roman"/>
          <w:b/>
          <w:sz w:val="20"/>
          <w:szCs w:val="20"/>
        </w:rPr>
        <w:t>V</w:t>
      </w:r>
      <w:r w:rsidR="00085157" w:rsidRPr="00496528">
        <w:rPr>
          <w:rFonts w:ascii="Times New Roman" w:hAnsi="Times New Roman"/>
          <w:b/>
          <w:sz w:val="20"/>
          <w:szCs w:val="20"/>
        </w:rPr>
        <w:t>aluación</w:t>
      </w:r>
    </w:p>
    <w:p w14:paraId="1894A398" w14:textId="77777777" w:rsidR="001D2F91" w:rsidRPr="00496528" w:rsidRDefault="001D2F91" w:rsidP="001D2F91">
      <w:pPr>
        <w:shd w:val="clear" w:color="auto" w:fill="FFFFFF"/>
        <w:jc w:val="both"/>
        <w:rPr>
          <w:rFonts w:ascii="Times New Roman" w:hAnsi="Times New Roman"/>
          <w:bCs/>
          <w:sz w:val="20"/>
          <w:szCs w:val="20"/>
        </w:rPr>
      </w:pPr>
      <w:r w:rsidRPr="00496528">
        <w:rPr>
          <w:rFonts w:ascii="Times New Roman" w:hAnsi="Times New Roman"/>
          <w:bCs/>
          <w:sz w:val="20"/>
          <w:szCs w:val="20"/>
        </w:rPr>
        <w:t>Todos los eventos que afectaron económicamente al organismo en el periodo que se informa se cuantificaron en términos monetarios y se registraron a costo histórico y en moneda nacional.</w:t>
      </w:r>
    </w:p>
    <w:p w14:paraId="1954B67E" w14:textId="77777777" w:rsidR="001D2F91" w:rsidRPr="00496528" w:rsidRDefault="00085157" w:rsidP="001D2F91">
      <w:pPr>
        <w:shd w:val="clear" w:color="auto" w:fill="FFFFFF"/>
        <w:jc w:val="both"/>
        <w:rPr>
          <w:rFonts w:ascii="Times New Roman" w:hAnsi="Times New Roman"/>
          <w:b/>
          <w:sz w:val="20"/>
          <w:szCs w:val="20"/>
        </w:rPr>
      </w:pPr>
      <w:r w:rsidRPr="00496528">
        <w:rPr>
          <w:rFonts w:ascii="Times New Roman" w:hAnsi="Times New Roman"/>
          <w:b/>
          <w:sz w:val="20"/>
          <w:szCs w:val="20"/>
        </w:rPr>
        <w:t>Dualidad Económica</w:t>
      </w:r>
    </w:p>
    <w:p w14:paraId="61E9C30F" w14:textId="77777777" w:rsidR="001D2F91" w:rsidRPr="00496528" w:rsidRDefault="001D2F91" w:rsidP="001D2F91">
      <w:pPr>
        <w:shd w:val="clear" w:color="auto" w:fill="FFFFFF"/>
        <w:jc w:val="both"/>
        <w:rPr>
          <w:rFonts w:ascii="Times New Roman" w:hAnsi="Times New Roman"/>
          <w:bCs/>
          <w:sz w:val="20"/>
          <w:szCs w:val="20"/>
        </w:rPr>
      </w:pPr>
      <w:r w:rsidRPr="00496528">
        <w:rPr>
          <w:rFonts w:ascii="Times New Roman" w:hAnsi="Times New Roman"/>
          <w:bCs/>
          <w:sz w:val="20"/>
          <w:szCs w:val="20"/>
        </w:rPr>
        <w:t>El organismo reconoció en la contabilidad, la representación de las transacciones y otros eventos que afectaron su situación financiera, su composición por los recursos asignados para el logro de sus fines y por su fuente de financiamiento, conforme a los derechos y obligaciones.</w:t>
      </w:r>
    </w:p>
    <w:p w14:paraId="5FECF4A2" w14:textId="77777777" w:rsidR="001D2F91" w:rsidRPr="00496528" w:rsidRDefault="00350FC5" w:rsidP="001D2F91">
      <w:pPr>
        <w:shd w:val="clear" w:color="auto" w:fill="FFFFFF"/>
        <w:jc w:val="both"/>
        <w:rPr>
          <w:rFonts w:ascii="Times New Roman" w:hAnsi="Times New Roman"/>
          <w:b/>
          <w:sz w:val="20"/>
          <w:szCs w:val="20"/>
        </w:rPr>
      </w:pPr>
      <w:r w:rsidRPr="00496528">
        <w:rPr>
          <w:rFonts w:ascii="Times New Roman" w:hAnsi="Times New Roman"/>
          <w:b/>
          <w:sz w:val="20"/>
          <w:szCs w:val="20"/>
        </w:rPr>
        <w:t>Consistencia</w:t>
      </w:r>
    </w:p>
    <w:p w14:paraId="2071D10E" w14:textId="77777777" w:rsidR="001D2F91" w:rsidRPr="00496528" w:rsidRDefault="001D2F91" w:rsidP="001D2F91">
      <w:pPr>
        <w:shd w:val="clear" w:color="auto" w:fill="FFFFFF"/>
        <w:jc w:val="both"/>
        <w:rPr>
          <w:rFonts w:ascii="Times New Roman" w:hAnsi="Times New Roman"/>
          <w:bCs/>
          <w:sz w:val="20"/>
          <w:szCs w:val="20"/>
        </w:rPr>
      </w:pPr>
      <w:r w:rsidRPr="00496528">
        <w:rPr>
          <w:rFonts w:ascii="Times New Roman" w:hAnsi="Times New Roman"/>
          <w:bCs/>
          <w:sz w:val="20"/>
          <w:szCs w:val="20"/>
        </w:rPr>
        <w:t>En operaciones similares realizadas en el organismo, se aplicó de manera sistemática un mismo criterio de tratamiento contable.</w:t>
      </w:r>
    </w:p>
    <w:p w14:paraId="496DD6A2" w14:textId="77777777" w:rsidR="001D2F91" w:rsidRPr="00496528" w:rsidRDefault="00F50FE0" w:rsidP="00A859EB">
      <w:pPr>
        <w:shd w:val="clear" w:color="auto" w:fill="FFFFFF"/>
        <w:jc w:val="both"/>
        <w:rPr>
          <w:rFonts w:ascii="Times New Roman" w:hAnsi="Times New Roman"/>
          <w:b/>
          <w:sz w:val="20"/>
          <w:szCs w:val="20"/>
        </w:rPr>
      </w:pPr>
      <w:r w:rsidRPr="00496528">
        <w:rPr>
          <w:rFonts w:ascii="Times New Roman" w:hAnsi="Times New Roman"/>
          <w:b/>
          <w:sz w:val="20"/>
          <w:szCs w:val="20"/>
        </w:rPr>
        <w:t>Cuenta con el Manual</w:t>
      </w:r>
      <w:r w:rsidR="00E61717" w:rsidRPr="00496528">
        <w:rPr>
          <w:rFonts w:ascii="Times New Roman" w:hAnsi="Times New Roman"/>
          <w:b/>
          <w:sz w:val="20"/>
          <w:szCs w:val="20"/>
        </w:rPr>
        <w:t xml:space="preserve"> del Contabilidad Gubernamental, </w:t>
      </w:r>
    </w:p>
    <w:p w14:paraId="15CFE8CF"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d) Normatividad supletoria.</w:t>
      </w:r>
    </w:p>
    <w:p w14:paraId="64230C83" w14:textId="77777777" w:rsidR="00556BDD" w:rsidRPr="00496528" w:rsidRDefault="00B36DCF" w:rsidP="00A859EB">
      <w:pPr>
        <w:shd w:val="clear" w:color="auto" w:fill="FFFFFF"/>
        <w:jc w:val="both"/>
        <w:rPr>
          <w:rFonts w:ascii="Times New Roman" w:hAnsi="Times New Roman"/>
          <w:sz w:val="20"/>
          <w:szCs w:val="20"/>
        </w:rPr>
      </w:pPr>
      <w:r w:rsidRPr="00496528">
        <w:rPr>
          <w:rFonts w:ascii="Times New Roman" w:hAnsi="Times New Roman"/>
          <w:sz w:val="20"/>
          <w:szCs w:val="20"/>
        </w:rPr>
        <w:t xml:space="preserve">Sujetos a las </w:t>
      </w:r>
      <w:r w:rsidR="00085157" w:rsidRPr="00496528">
        <w:rPr>
          <w:rFonts w:ascii="Times New Roman" w:hAnsi="Times New Roman"/>
          <w:sz w:val="20"/>
          <w:szCs w:val="20"/>
        </w:rPr>
        <w:t>actualizaciones emitidas</w:t>
      </w:r>
      <w:r w:rsidR="00F50FE0" w:rsidRPr="00496528">
        <w:rPr>
          <w:rFonts w:ascii="Times New Roman" w:hAnsi="Times New Roman"/>
          <w:sz w:val="20"/>
          <w:szCs w:val="20"/>
        </w:rPr>
        <w:t xml:space="preserve"> por el CONAC</w:t>
      </w:r>
    </w:p>
    <w:p w14:paraId="2FA3EA16"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 xml:space="preserve">e) Para las entidades que por primera vez estén implementando </w:t>
      </w:r>
      <w:r w:rsidR="00085157" w:rsidRPr="00496528">
        <w:rPr>
          <w:rFonts w:ascii="Times New Roman" w:hAnsi="Times New Roman"/>
          <w:sz w:val="20"/>
          <w:szCs w:val="20"/>
        </w:rPr>
        <w:t>el base devengado</w:t>
      </w:r>
      <w:r w:rsidRPr="00496528">
        <w:rPr>
          <w:rFonts w:ascii="Times New Roman" w:hAnsi="Times New Roman"/>
          <w:sz w:val="20"/>
          <w:szCs w:val="20"/>
        </w:rPr>
        <w:t xml:space="preserve"> de acuerdo a la Ley de Contabilidad, deberán:</w:t>
      </w:r>
    </w:p>
    <w:p w14:paraId="3E58286E" w14:textId="77777777" w:rsidR="00556BDD" w:rsidRPr="00496528" w:rsidRDefault="00556BDD" w:rsidP="00A859EB">
      <w:pPr>
        <w:shd w:val="clear" w:color="auto" w:fill="FFFFFF"/>
        <w:jc w:val="both"/>
        <w:rPr>
          <w:rFonts w:ascii="Times New Roman" w:hAnsi="Times New Roman"/>
          <w:sz w:val="20"/>
          <w:szCs w:val="20"/>
        </w:rPr>
      </w:pPr>
      <w:r w:rsidRPr="00496528">
        <w:rPr>
          <w:rFonts w:ascii="Cambria Math" w:hAnsi="Cambria Math" w:cs="Cambria Math"/>
          <w:sz w:val="20"/>
          <w:szCs w:val="20"/>
        </w:rPr>
        <w:t>‐</w:t>
      </w:r>
      <w:r w:rsidRPr="00496528">
        <w:rPr>
          <w:rFonts w:ascii="Times New Roman" w:hAnsi="Times New Roman"/>
          <w:sz w:val="20"/>
          <w:szCs w:val="20"/>
        </w:rPr>
        <w:t>Revelar las nuevas políticas de reconocimiento:</w:t>
      </w:r>
    </w:p>
    <w:p w14:paraId="5713E704" w14:textId="77777777" w:rsidR="00556BDD" w:rsidRPr="00496528" w:rsidRDefault="00556BDD" w:rsidP="00A859EB">
      <w:pPr>
        <w:shd w:val="clear" w:color="auto" w:fill="FFFFFF"/>
        <w:jc w:val="both"/>
        <w:rPr>
          <w:rFonts w:ascii="Times New Roman" w:hAnsi="Times New Roman"/>
          <w:sz w:val="20"/>
          <w:szCs w:val="20"/>
        </w:rPr>
      </w:pPr>
      <w:r w:rsidRPr="00496528">
        <w:rPr>
          <w:rFonts w:ascii="Cambria Math" w:hAnsi="Cambria Math" w:cs="Cambria Math"/>
          <w:sz w:val="20"/>
          <w:szCs w:val="20"/>
        </w:rPr>
        <w:t>‐</w:t>
      </w:r>
      <w:r w:rsidRPr="00496528">
        <w:rPr>
          <w:rFonts w:ascii="Times New Roman" w:hAnsi="Times New Roman"/>
          <w:sz w:val="20"/>
          <w:szCs w:val="20"/>
        </w:rPr>
        <w:t>Plan de implementación:</w:t>
      </w:r>
    </w:p>
    <w:p w14:paraId="3192633D" w14:textId="77777777" w:rsidR="00F50FE0"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 xml:space="preserve">Sujetos </w:t>
      </w:r>
      <w:r w:rsidR="00F50FE0" w:rsidRPr="00496528">
        <w:rPr>
          <w:rFonts w:ascii="Times New Roman" w:hAnsi="Times New Roman"/>
          <w:sz w:val="20"/>
          <w:szCs w:val="20"/>
        </w:rPr>
        <w:t>a los emitidos por el CONAC</w:t>
      </w:r>
    </w:p>
    <w:p w14:paraId="57F5EC62" w14:textId="77777777" w:rsidR="00556BDD" w:rsidRPr="00496528" w:rsidRDefault="00556BDD" w:rsidP="00A859EB">
      <w:pPr>
        <w:shd w:val="clear" w:color="auto" w:fill="FFFFFF"/>
        <w:jc w:val="both"/>
        <w:rPr>
          <w:rFonts w:ascii="Times New Roman" w:hAnsi="Times New Roman"/>
          <w:sz w:val="20"/>
          <w:szCs w:val="20"/>
        </w:rPr>
      </w:pPr>
      <w:r w:rsidRPr="00496528">
        <w:rPr>
          <w:rFonts w:ascii="Cambria Math" w:hAnsi="Cambria Math" w:cs="Cambria Math"/>
          <w:sz w:val="20"/>
          <w:szCs w:val="20"/>
        </w:rPr>
        <w:t>‐</w:t>
      </w:r>
      <w:r w:rsidRPr="00496528">
        <w:rPr>
          <w:rFonts w:ascii="Times New Roman" w:hAnsi="Times New Roman"/>
          <w:sz w:val="20"/>
          <w:szCs w:val="20"/>
        </w:rPr>
        <w:t>Revelar los cambios en las políticas, la clasificación y medición de las mismas, así como su impacto en la información financiera:</w:t>
      </w:r>
    </w:p>
    <w:p w14:paraId="107A418C" w14:textId="77777777" w:rsidR="00F50FE0" w:rsidRPr="00496528" w:rsidRDefault="00F50FE0" w:rsidP="00A859EB">
      <w:pPr>
        <w:shd w:val="clear" w:color="auto" w:fill="FFFFFF"/>
        <w:jc w:val="both"/>
        <w:rPr>
          <w:rFonts w:ascii="Times New Roman" w:hAnsi="Times New Roman"/>
          <w:sz w:val="20"/>
          <w:szCs w:val="20"/>
        </w:rPr>
      </w:pPr>
      <w:r w:rsidRPr="00496528">
        <w:rPr>
          <w:rFonts w:ascii="Times New Roman" w:hAnsi="Times New Roman"/>
          <w:sz w:val="20"/>
          <w:szCs w:val="20"/>
        </w:rPr>
        <w:t>Sujetos a los emitidos por el CONAC</w:t>
      </w:r>
    </w:p>
    <w:p w14:paraId="3D315873" w14:textId="77777777" w:rsidR="00556BDD" w:rsidRPr="00496528" w:rsidRDefault="00556BDD" w:rsidP="00A859EB">
      <w:pPr>
        <w:shd w:val="clear" w:color="auto" w:fill="FFFFFF"/>
        <w:jc w:val="both"/>
        <w:rPr>
          <w:rFonts w:ascii="Times New Roman" w:hAnsi="Times New Roman"/>
          <w:sz w:val="20"/>
          <w:szCs w:val="20"/>
        </w:rPr>
      </w:pPr>
      <w:r w:rsidRPr="00496528">
        <w:rPr>
          <w:rFonts w:ascii="Cambria Math" w:hAnsi="Cambria Math" w:cs="Cambria Math"/>
          <w:sz w:val="20"/>
          <w:szCs w:val="20"/>
        </w:rPr>
        <w:t>‐</w:t>
      </w:r>
      <w:r w:rsidRPr="00496528">
        <w:rPr>
          <w:rFonts w:ascii="Times New Roman" w:hAnsi="Times New Roman"/>
          <w:sz w:val="20"/>
          <w:szCs w:val="20"/>
        </w:rPr>
        <w:t>Presentar los últimos estados financieros con la normatividad anteriormente utilizada con las nuevas políticas para fines de comparación en la</w:t>
      </w:r>
      <w:r w:rsidR="001D2F91" w:rsidRPr="00496528">
        <w:rPr>
          <w:rFonts w:ascii="Times New Roman" w:hAnsi="Times New Roman"/>
          <w:sz w:val="20"/>
          <w:szCs w:val="20"/>
        </w:rPr>
        <w:t xml:space="preserve"> transición </w:t>
      </w:r>
      <w:r w:rsidR="00445AC6" w:rsidRPr="00496528">
        <w:rPr>
          <w:rFonts w:ascii="Times New Roman" w:hAnsi="Times New Roman"/>
          <w:sz w:val="20"/>
          <w:szCs w:val="20"/>
        </w:rPr>
        <w:t>al base devengado</w:t>
      </w:r>
      <w:r w:rsidR="001D2F91" w:rsidRPr="00496528">
        <w:rPr>
          <w:rFonts w:ascii="Times New Roman" w:hAnsi="Times New Roman"/>
          <w:sz w:val="20"/>
          <w:szCs w:val="20"/>
        </w:rPr>
        <w:t>.</w:t>
      </w:r>
    </w:p>
    <w:p w14:paraId="291AFD49" w14:textId="77777777" w:rsidR="001D2F91" w:rsidRPr="00496528" w:rsidRDefault="001D2F91" w:rsidP="001D2F91">
      <w:pPr>
        <w:shd w:val="clear" w:color="auto" w:fill="FFFFFF"/>
        <w:jc w:val="both"/>
        <w:rPr>
          <w:rFonts w:ascii="Times New Roman" w:hAnsi="Times New Roman"/>
          <w:b/>
          <w:i/>
          <w:sz w:val="20"/>
          <w:szCs w:val="20"/>
        </w:rPr>
      </w:pPr>
      <w:r w:rsidRPr="00496528">
        <w:rPr>
          <w:rFonts w:ascii="Times New Roman" w:hAnsi="Times New Roman"/>
          <w:b/>
          <w:i/>
          <w:sz w:val="20"/>
          <w:szCs w:val="20"/>
        </w:rPr>
        <w:t xml:space="preserve">Estas notas no aplican al IMPLAN, no es la primera vez estén implementando </w:t>
      </w:r>
      <w:r w:rsidR="00445AC6" w:rsidRPr="00496528">
        <w:rPr>
          <w:rFonts w:ascii="Times New Roman" w:hAnsi="Times New Roman"/>
          <w:b/>
          <w:i/>
          <w:sz w:val="20"/>
          <w:szCs w:val="20"/>
        </w:rPr>
        <w:t>la base devengada</w:t>
      </w:r>
      <w:r w:rsidRPr="00496528">
        <w:rPr>
          <w:rFonts w:ascii="Times New Roman" w:hAnsi="Times New Roman"/>
          <w:b/>
          <w:i/>
          <w:sz w:val="20"/>
          <w:szCs w:val="20"/>
        </w:rPr>
        <w:t>.</w:t>
      </w:r>
    </w:p>
    <w:p w14:paraId="0B739444" w14:textId="6D767E2C" w:rsidR="00556BDD" w:rsidRPr="00496528" w:rsidRDefault="008260F7" w:rsidP="00A859EB">
      <w:pPr>
        <w:shd w:val="clear" w:color="auto" w:fill="FFFFFF"/>
        <w:jc w:val="both"/>
        <w:rPr>
          <w:rFonts w:ascii="Times New Roman" w:hAnsi="Times New Roman"/>
          <w:b/>
          <w:color w:val="C45911"/>
          <w:sz w:val="24"/>
          <w:szCs w:val="24"/>
        </w:rPr>
      </w:pPr>
      <w:r>
        <w:rPr>
          <w:rFonts w:ascii="Times New Roman" w:hAnsi="Times New Roman"/>
          <w:b/>
          <w:color w:val="C45911"/>
          <w:sz w:val="24"/>
          <w:szCs w:val="24"/>
        </w:rPr>
        <w:t>5</w:t>
      </w:r>
      <w:r w:rsidR="00556BDD" w:rsidRPr="00496528">
        <w:rPr>
          <w:rFonts w:ascii="Times New Roman" w:hAnsi="Times New Roman"/>
          <w:b/>
          <w:color w:val="C45911"/>
          <w:sz w:val="24"/>
          <w:szCs w:val="24"/>
        </w:rPr>
        <w:t>. Políticas de Contabilidad Significativas:</w:t>
      </w:r>
    </w:p>
    <w:p w14:paraId="6C0BB7C3"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a) Actualización:</w:t>
      </w:r>
    </w:p>
    <w:p w14:paraId="1895A37C"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lastRenderedPageBreak/>
        <w:t>Los activos se revaluaron</w:t>
      </w:r>
      <w:r w:rsidR="00445AC6" w:rsidRPr="00496528">
        <w:rPr>
          <w:rFonts w:ascii="Times New Roman" w:hAnsi="Times New Roman"/>
          <w:sz w:val="20"/>
          <w:szCs w:val="20"/>
        </w:rPr>
        <w:t>, por primera vez</w:t>
      </w:r>
      <w:r w:rsidRPr="00496528">
        <w:rPr>
          <w:rFonts w:ascii="Times New Roman" w:hAnsi="Times New Roman"/>
          <w:sz w:val="20"/>
          <w:szCs w:val="20"/>
        </w:rPr>
        <w:t xml:space="preserve"> de acuerdo a su vida útil</w:t>
      </w:r>
      <w:r w:rsidR="001956D9" w:rsidRPr="00496528">
        <w:rPr>
          <w:rFonts w:ascii="Times New Roman" w:hAnsi="Times New Roman"/>
          <w:sz w:val="20"/>
          <w:szCs w:val="20"/>
        </w:rPr>
        <w:t xml:space="preserve"> en el año 2014</w:t>
      </w:r>
      <w:r w:rsidR="00445AC6" w:rsidRPr="00496528">
        <w:rPr>
          <w:rFonts w:ascii="Times New Roman" w:hAnsi="Times New Roman"/>
          <w:sz w:val="20"/>
          <w:szCs w:val="20"/>
        </w:rPr>
        <w:t>, a la fecha si los artículos siguen siendo útiles se revalúan.</w:t>
      </w:r>
    </w:p>
    <w:p w14:paraId="3FAD9866"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b) Informar sobre la realización de operaciones en el extranjero y de sus efectos en la información financiera gubernamental:</w:t>
      </w:r>
    </w:p>
    <w:p w14:paraId="01BC5E6B"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Sin operaciones en el extranjero.</w:t>
      </w:r>
    </w:p>
    <w:p w14:paraId="327EEEC9" w14:textId="77777777" w:rsidR="0002447A"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c) Método de valuación de la inversión en acciones de Compañías subsidiarias no consolidadas y asociadas:</w:t>
      </w:r>
      <w:r w:rsidR="00E52055" w:rsidRPr="00496528">
        <w:rPr>
          <w:rFonts w:ascii="Times New Roman" w:hAnsi="Times New Roman"/>
          <w:sz w:val="20"/>
          <w:szCs w:val="20"/>
        </w:rPr>
        <w:t xml:space="preserve"> </w:t>
      </w:r>
    </w:p>
    <w:p w14:paraId="4A9B6C8A" w14:textId="77777777" w:rsidR="0035592D" w:rsidRPr="00496528" w:rsidRDefault="00E52055" w:rsidP="00A859EB">
      <w:pPr>
        <w:shd w:val="clear" w:color="auto" w:fill="FFFFFF"/>
        <w:jc w:val="both"/>
        <w:rPr>
          <w:rFonts w:ascii="Times New Roman" w:hAnsi="Times New Roman"/>
          <w:sz w:val="20"/>
          <w:szCs w:val="20"/>
        </w:rPr>
      </w:pPr>
      <w:r w:rsidRPr="00496528">
        <w:rPr>
          <w:rFonts w:ascii="Times New Roman" w:hAnsi="Times New Roman"/>
          <w:b/>
          <w:sz w:val="20"/>
          <w:szCs w:val="20"/>
        </w:rPr>
        <w:t>Esta nota no aplica al ente Público</w:t>
      </w:r>
      <w:r w:rsidR="0035592D" w:rsidRPr="00496528">
        <w:rPr>
          <w:rFonts w:ascii="Times New Roman" w:hAnsi="Times New Roman"/>
          <w:b/>
          <w:sz w:val="20"/>
          <w:szCs w:val="20"/>
        </w:rPr>
        <w:t xml:space="preserve">. </w:t>
      </w:r>
      <w:r w:rsidR="0035592D" w:rsidRPr="00496528">
        <w:rPr>
          <w:rFonts w:ascii="Times New Roman" w:hAnsi="Times New Roman"/>
          <w:sz w:val="20"/>
          <w:szCs w:val="20"/>
        </w:rPr>
        <w:t>No es una compañía subsidiaria</w:t>
      </w:r>
    </w:p>
    <w:p w14:paraId="479FBA9B"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d) Sistema y método de valuación de inventarios y costo de lo vendido:</w:t>
      </w:r>
    </w:p>
    <w:p w14:paraId="55C6A94B" w14:textId="77777777" w:rsidR="00556BDD" w:rsidRPr="00496528" w:rsidRDefault="001337B0" w:rsidP="00A859EB">
      <w:pPr>
        <w:shd w:val="clear" w:color="auto" w:fill="FFFFFF"/>
        <w:jc w:val="both"/>
        <w:rPr>
          <w:rFonts w:ascii="Times New Roman" w:hAnsi="Times New Roman"/>
          <w:sz w:val="20"/>
          <w:szCs w:val="20"/>
        </w:rPr>
      </w:pPr>
      <w:r w:rsidRPr="00496528">
        <w:rPr>
          <w:rFonts w:ascii="Times New Roman" w:hAnsi="Times New Roman"/>
          <w:sz w:val="20"/>
          <w:szCs w:val="20"/>
        </w:rPr>
        <w:t>% de Uso</w:t>
      </w:r>
      <w:r w:rsidR="00556BDD" w:rsidRPr="00496528">
        <w:rPr>
          <w:rFonts w:ascii="Times New Roman" w:hAnsi="Times New Roman"/>
          <w:sz w:val="20"/>
          <w:szCs w:val="20"/>
        </w:rPr>
        <w:t>, con costo de recuperación de un peso.</w:t>
      </w:r>
    </w:p>
    <w:p w14:paraId="41598C0C"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e) Beneficios a empleados:</w:t>
      </w:r>
    </w:p>
    <w:p w14:paraId="235E6E1F" w14:textId="77777777" w:rsidR="00EE772E" w:rsidRPr="00496528" w:rsidRDefault="00EE772E" w:rsidP="00A859EB">
      <w:pPr>
        <w:shd w:val="clear" w:color="auto" w:fill="FFFFFF"/>
        <w:jc w:val="both"/>
        <w:rPr>
          <w:rFonts w:ascii="Times New Roman" w:hAnsi="Times New Roman"/>
          <w:bCs/>
          <w:i/>
          <w:sz w:val="20"/>
          <w:szCs w:val="20"/>
        </w:rPr>
      </w:pPr>
      <w:r w:rsidRPr="00496528">
        <w:rPr>
          <w:rFonts w:cs="Calibri"/>
          <w:bCs/>
          <w:i/>
        </w:rPr>
        <w:t xml:space="preserve">Revelar el cálculo de la reserva actuarial, no aplica al IMPLAN, </w:t>
      </w:r>
      <w:r w:rsidR="002C22D5" w:rsidRPr="00496528">
        <w:rPr>
          <w:rFonts w:cs="Calibri"/>
          <w:bCs/>
          <w:i/>
        </w:rPr>
        <w:t xml:space="preserve">porque las pensiones están </w:t>
      </w:r>
      <w:r w:rsidR="00350FC5" w:rsidRPr="00496528">
        <w:rPr>
          <w:rFonts w:cs="Calibri"/>
          <w:bCs/>
          <w:i/>
        </w:rPr>
        <w:t>subrogadas</w:t>
      </w:r>
      <w:r w:rsidRPr="00496528">
        <w:rPr>
          <w:rFonts w:cs="Calibri"/>
          <w:bCs/>
          <w:i/>
        </w:rPr>
        <w:t xml:space="preserve"> al Instituto Mexicano del Seguro Social.</w:t>
      </w:r>
    </w:p>
    <w:p w14:paraId="78B352DB"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 xml:space="preserve">El salario se integra por la Previsión Social permitida por la Ley del </w:t>
      </w:r>
      <w:r w:rsidR="00A277AD" w:rsidRPr="00496528">
        <w:rPr>
          <w:rFonts w:ascii="Times New Roman" w:hAnsi="Times New Roman"/>
          <w:sz w:val="20"/>
          <w:szCs w:val="20"/>
        </w:rPr>
        <w:t>IMSS, en</w:t>
      </w:r>
      <w:r w:rsidRPr="00496528">
        <w:rPr>
          <w:rFonts w:ascii="Times New Roman" w:hAnsi="Times New Roman"/>
          <w:sz w:val="20"/>
          <w:szCs w:val="20"/>
        </w:rPr>
        <w:t xml:space="preserve"> su artículo 27, además de la Previsión Social propu</w:t>
      </w:r>
      <w:r w:rsidR="00FD4B53" w:rsidRPr="00496528">
        <w:rPr>
          <w:rFonts w:ascii="Times New Roman" w:hAnsi="Times New Roman"/>
          <w:sz w:val="20"/>
          <w:szCs w:val="20"/>
        </w:rPr>
        <w:t xml:space="preserve">esta por la Ley del I. S. </w:t>
      </w:r>
      <w:r w:rsidR="00A277AD" w:rsidRPr="00496528">
        <w:rPr>
          <w:rFonts w:ascii="Times New Roman" w:hAnsi="Times New Roman"/>
          <w:sz w:val="20"/>
          <w:szCs w:val="20"/>
        </w:rPr>
        <w:t>R.,</w:t>
      </w:r>
      <w:r w:rsidRPr="00496528">
        <w:rPr>
          <w:rFonts w:ascii="Times New Roman" w:hAnsi="Times New Roman"/>
          <w:sz w:val="20"/>
          <w:szCs w:val="20"/>
        </w:rPr>
        <w:t xml:space="preserve"> además de 40 días de gratificación anual, 10 días de vacaciones semestrales con una prima vacacional del </w:t>
      </w:r>
      <w:r w:rsidR="000D597C" w:rsidRPr="00496528">
        <w:rPr>
          <w:rFonts w:ascii="Times New Roman" w:hAnsi="Times New Roman"/>
          <w:sz w:val="20"/>
          <w:szCs w:val="20"/>
        </w:rPr>
        <w:t>30</w:t>
      </w:r>
      <w:r w:rsidR="001956D9" w:rsidRPr="00496528">
        <w:rPr>
          <w:rFonts w:ascii="Times New Roman" w:hAnsi="Times New Roman"/>
          <w:sz w:val="20"/>
          <w:szCs w:val="20"/>
        </w:rPr>
        <w:t xml:space="preserve"> </w:t>
      </w:r>
      <w:r w:rsidRPr="00496528">
        <w:rPr>
          <w:rFonts w:ascii="Times New Roman" w:hAnsi="Times New Roman"/>
          <w:sz w:val="20"/>
          <w:szCs w:val="20"/>
        </w:rPr>
        <w:t>%</w:t>
      </w:r>
      <w:r w:rsidR="001956D9" w:rsidRPr="00496528">
        <w:rPr>
          <w:rFonts w:ascii="Times New Roman" w:hAnsi="Times New Roman"/>
          <w:sz w:val="20"/>
          <w:szCs w:val="20"/>
        </w:rPr>
        <w:t xml:space="preserve"> sobre percepción neta</w:t>
      </w:r>
      <w:r w:rsidRPr="00496528">
        <w:rPr>
          <w:rFonts w:ascii="Times New Roman" w:hAnsi="Times New Roman"/>
          <w:sz w:val="20"/>
          <w:szCs w:val="20"/>
        </w:rPr>
        <w:t>, además de la Seguridad Social del IMSS y del INFONAVIT.  Prestaciones de Ley.</w:t>
      </w:r>
    </w:p>
    <w:p w14:paraId="127E9339"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f) Provisiones:</w:t>
      </w:r>
    </w:p>
    <w:p w14:paraId="1CE2A855"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 xml:space="preserve">Se dan en base a la Ley Para el Ejercicio y Control de los Recursos Públicos del Estado y sus Municipios. Solamente se provisionará las </w:t>
      </w:r>
      <w:r w:rsidR="00A277AD" w:rsidRPr="00496528">
        <w:rPr>
          <w:rFonts w:ascii="Times New Roman" w:hAnsi="Times New Roman"/>
          <w:sz w:val="20"/>
          <w:szCs w:val="20"/>
        </w:rPr>
        <w:t>cuentas comprometidas</w:t>
      </w:r>
      <w:r w:rsidRPr="00496528">
        <w:rPr>
          <w:rFonts w:ascii="Times New Roman" w:hAnsi="Times New Roman"/>
          <w:sz w:val="20"/>
          <w:szCs w:val="20"/>
        </w:rPr>
        <w:t xml:space="preserve"> y   devengadas dando a conocer su objeto de creación, monto y plazo.</w:t>
      </w:r>
    </w:p>
    <w:p w14:paraId="3E608851"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g) Reservas:</w:t>
      </w:r>
      <w:r w:rsidR="0035592D" w:rsidRPr="00496528">
        <w:rPr>
          <w:rFonts w:ascii="Times New Roman" w:hAnsi="Times New Roman"/>
          <w:sz w:val="20"/>
          <w:szCs w:val="20"/>
        </w:rPr>
        <w:t xml:space="preserve"> </w:t>
      </w:r>
      <w:r w:rsidR="0035592D" w:rsidRPr="00496528">
        <w:rPr>
          <w:rFonts w:ascii="Times New Roman" w:hAnsi="Times New Roman"/>
          <w:b/>
          <w:sz w:val="20"/>
          <w:szCs w:val="20"/>
        </w:rPr>
        <w:t>Esta nota no aplica al ente Público.</w:t>
      </w:r>
    </w:p>
    <w:p w14:paraId="185A5130" w14:textId="77777777" w:rsidR="00556BDD" w:rsidRPr="00496528" w:rsidRDefault="00F50FE0" w:rsidP="00A859EB">
      <w:pPr>
        <w:shd w:val="clear" w:color="auto" w:fill="FFFFFF"/>
        <w:jc w:val="both"/>
        <w:rPr>
          <w:rFonts w:ascii="Times New Roman" w:hAnsi="Times New Roman"/>
          <w:sz w:val="20"/>
          <w:szCs w:val="20"/>
        </w:rPr>
      </w:pPr>
      <w:r w:rsidRPr="00496528">
        <w:rPr>
          <w:rFonts w:ascii="Times New Roman" w:hAnsi="Times New Roman"/>
          <w:sz w:val="20"/>
          <w:szCs w:val="20"/>
        </w:rPr>
        <w:t xml:space="preserve">No se cuenta con reservas al 31 de </w:t>
      </w:r>
      <w:r w:rsidR="00085157" w:rsidRPr="00496528">
        <w:rPr>
          <w:rFonts w:ascii="Times New Roman" w:hAnsi="Times New Roman"/>
          <w:sz w:val="20"/>
          <w:szCs w:val="20"/>
        </w:rPr>
        <w:t>diciembre</w:t>
      </w:r>
      <w:r w:rsidRPr="00496528">
        <w:rPr>
          <w:rFonts w:ascii="Times New Roman" w:hAnsi="Times New Roman"/>
          <w:sz w:val="20"/>
          <w:szCs w:val="20"/>
        </w:rPr>
        <w:t xml:space="preserve"> del 20</w:t>
      </w:r>
      <w:r w:rsidR="00024CC8" w:rsidRPr="00496528">
        <w:rPr>
          <w:rFonts w:ascii="Times New Roman" w:hAnsi="Times New Roman"/>
          <w:sz w:val="20"/>
          <w:szCs w:val="20"/>
        </w:rPr>
        <w:t>2</w:t>
      </w:r>
      <w:r w:rsidR="000D597C" w:rsidRPr="00496528">
        <w:rPr>
          <w:rFonts w:ascii="Times New Roman" w:hAnsi="Times New Roman"/>
          <w:sz w:val="20"/>
          <w:szCs w:val="20"/>
        </w:rPr>
        <w:t>4</w:t>
      </w:r>
      <w:r w:rsidRPr="00496528">
        <w:rPr>
          <w:rFonts w:ascii="Times New Roman" w:hAnsi="Times New Roman"/>
          <w:sz w:val="20"/>
          <w:szCs w:val="20"/>
        </w:rPr>
        <w:t xml:space="preserve">, no hay demandas </w:t>
      </w:r>
      <w:r w:rsidR="00024CC8" w:rsidRPr="00496528">
        <w:rPr>
          <w:rFonts w:ascii="Times New Roman" w:hAnsi="Times New Roman"/>
          <w:sz w:val="20"/>
          <w:szCs w:val="20"/>
        </w:rPr>
        <w:t>ni</w:t>
      </w:r>
      <w:r w:rsidRPr="00496528">
        <w:rPr>
          <w:rFonts w:ascii="Times New Roman" w:hAnsi="Times New Roman"/>
          <w:sz w:val="20"/>
          <w:szCs w:val="20"/>
        </w:rPr>
        <w:t xml:space="preserve"> laudos.</w:t>
      </w:r>
    </w:p>
    <w:p w14:paraId="5BE95608"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h) Cambios en políticas contables y corrección de errores junto con la revelación de los efectos que se tendrá en la información financiera del ente público, ya sea retrospectivos o prospectivos:</w:t>
      </w:r>
    </w:p>
    <w:p w14:paraId="21966892"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Los Estados Financieros del IMPLAN, presentaban un saldo aparentemente a favor del Impuesto al Valor Agregado</w:t>
      </w:r>
      <w:r w:rsidR="00024CC8" w:rsidRPr="00496528">
        <w:rPr>
          <w:rFonts w:ascii="Times New Roman" w:hAnsi="Times New Roman"/>
          <w:sz w:val="20"/>
          <w:szCs w:val="20"/>
        </w:rPr>
        <w:t>,</w:t>
      </w:r>
      <w:r w:rsidRPr="00496528">
        <w:rPr>
          <w:rFonts w:ascii="Times New Roman" w:hAnsi="Times New Roman"/>
          <w:sz w:val="20"/>
          <w:szCs w:val="20"/>
        </w:rPr>
        <w:t xml:space="preserve"> lo que provocaba Estados </w:t>
      </w:r>
      <w:r w:rsidR="00A277AD" w:rsidRPr="00496528">
        <w:rPr>
          <w:rFonts w:ascii="Times New Roman" w:hAnsi="Times New Roman"/>
          <w:sz w:val="20"/>
          <w:szCs w:val="20"/>
        </w:rPr>
        <w:t>Financieros irreales</w:t>
      </w:r>
      <w:r w:rsidRPr="00496528">
        <w:rPr>
          <w:rFonts w:ascii="Times New Roman" w:hAnsi="Times New Roman"/>
          <w:sz w:val="20"/>
          <w:szCs w:val="20"/>
        </w:rPr>
        <w:t xml:space="preserve">, al cierre del 2013 estos saldos se regularizan contra el ejercicio de cada uno de los años correspondientes. Estas modificaciones se hicieron por Observación de la Contraloría Municipal y Realizadas bajo conocimiento de la </w:t>
      </w:r>
      <w:r w:rsidR="005E6F14" w:rsidRPr="00496528">
        <w:rPr>
          <w:rFonts w:ascii="Times New Roman" w:hAnsi="Times New Roman"/>
          <w:sz w:val="20"/>
          <w:szCs w:val="20"/>
        </w:rPr>
        <w:t>Consejo Directivo</w:t>
      </w:r>
      <w:r w:rsidRPr="00496528">
        <w:rPr>
          <w:rFonts w:ascii="Times New Roman" w:hAnsi="Times New Roman"/>
          <w:sz w:val="20"/>
          <w:szCs w:val="20"/>
        </w:rPr>
        <w:t>.</w:t>
      </w:r>
    </w:p>
    <w:p w14:paraId="22365F97" w14:textId="77777777" w:rsidR="00085157" w:rsidRPr="00496528" w:rsidRDefault="00085157" w:rsidP="00A859EB">
      <w:pPr>
        <w:shd w:val="clear" w:color="auto" w:fill="FFFFFF"/>
        <w:jc w:val="both"/>
        <w:rPr>
          <w:rFonts w:ascii="Times New Roman" w:hAnsi="Times New Roman"/>
          <w:sz w:val="20"/>
          <w:szCs w:val="20"/>
        </w:rPr>
      </w:pPr>
      <w:r w:rsidRPr="00496528">
        <w:rPr>
          <w:rFonts w:ascii="Times New Roman" w:hAnsi="Times New Roman"/>
          <w:sz w:val="20"/>
          <w:szCs w:val="20"/>
        </w:rPr>
        <w:t xml:space="preserve">i) </w:t>
      </w:r>
      <w:r w:rsidR="00F2586E" w:rsidRPr="00496528">
        <w:rPr>
          <w:rFonts w:ascii="Times New Roman" w:hAnsi="Times New Roman"/>
          <w:sz w:val="20"/>
          <w:szCs w:val="20"/>
        </w:rPr>
        <w:t>Reclasificaciones:</w:t>
      </w:r>
    </w:p>
    <w:p w14:paraId="1AFDE053" w14:textId="77777777" w:rsidR="00556BDD" w:rsidRPr="00496528" w:rsidRDefault="00556BDD" w:rsidP="00A859EB">
      <w:pPr>
        <w:shd w:val="clear" w:color="auto" w:fill="FFFFFF"/>
        <w:ind w:left="360"/>
        <w:jc w:val="both"/>
        <w:rPr>
          <w:rFonts w:ascii="Times New Roman" w:hAnsi="Times New Roman"/>
          <w:sz w:val="20"/>
          <w:szCs w:val="20"/>
        </w:rPr>
      </w:pPr>
      <w:r w:rsidRPr="00496528">
        <w:rPr>
          <w:rFonts w:ascii="Times New Roman" w:hAnsi="Times New Roman"/>
          <w:sz w:val="20"/>
          <w:szCs w:val="20"/>
        </w:rPr>
        <w:t xml:space="preserve">Realizadas bajo conocimiento del </w:t>
      </w:r>
      <w:r w:rsidR="005E6F14" w:rsidRPr="00496528">
        <w:rPr>
          <w:rFonts w:ascii="Times New Roman" w:hAnsi="Times New Roman"/>
          <w:sz w:val="20"/>
          <w:szCs w:val="20"/>
        </w:rPr>
        <w:t>Consejo Directivo</w:t>
      </w:r>
      <w:r w:rsidR="00F2586E" w:rsidRPr="00496528">
        <w:rPr>
          <w:rFonts w:ascii="Times New Roman" w:hAnsi="Times New Roman"/>
          <w:sz w:val="20"/>
          <w:szCs w:val="20"/>
        </w:rPr>
        <w:t>.</w:t>
      </w:r>
    </w:p>
    <w:p w14:paraId="18939A09" w14:textId="77777777" w:rsidR="00F2586E" w:rsidRPr="00496528" w:rsidRDefault="00F2586E" w:rsidP="00F2586E">
      <w:pPr>
        <w:shd w:val="clear" w:color="auto" w:fill="FFFFFF"/>
        <w:jc w:val="both"/>
        <w:rPr>
          <w:rFonts w:ascii="Times New Roman" w:hAnsi="Times New Roman"/>
          <w:sz w:val="20"/>
          <w:szCs w:val="20"/>
        </w:rPr>
      </w:pPr>
      <w:r w:rsidRPr="00496528">
        <w:rPr>
          <w:rFonts w:ascii="Times New Roman" w:hAnsi="Times New Roman"/>
          <w:sz w:val="20"/>
          <w:szCs w:val="20"/>
        </w:rPr>
        <w:t>j) Depuraciones y Cancelación de Saldos:</w:t>
      </w:r>
    </w:p>
    <w:p w14:paraId="7189027D" w14:textId="77777777" w:rsidR="00556BDD" w:rsidRPr="00496528" w:rsidRDefault="00556BDD" w:rsidP="00A859EB">
      <w:pPr>
        <w:shd w:val="clear" w:color="auto" w:fill="FFFFFF"/>
        <w:ind w:left="360"/>
        <w:jc w:val="both"/>
        <w:rPr>
          <w:rFonts w:ascii="Times New Roman" w:hAnsi="Times New Roman"/>
          <w:sz w:val="20"/>
          <w:szCs w:val="20"/>
        </w:rPr>
      </w:pPr>
      <w:r w:rsidRPr="00496528">
        <w:rPr>
          <w:rFonts w:ascii="Times New Roman" w:hAnsi="Times New Roman"/>
          <w:sz w:val="20"/>
          <w:szCs w:val="20"/>
        </w:rPr>
        <w:t xml:space="preserve">Realizadas bajo conocimiento del </w:t>
      </w:r>
      <w:r w:rsidR="005E6F14" w:rsidRPr="00496528">
        <w:rPr>
          <w:rFonts w:ascii="Times New Roman" w:hAnsi="Times New Roman"/>
          <w:sz w:val="20"/>
          <w:szCs w:val="20"/>
        </w:rPr>
        <w:t>Consejo Directivo</w:t>
      </w:r>
    </w:p>
    <w:p w14:paraId="30317098" w14:textId="45A68DA7" w:rsidR="00556BDD" w:rsidRPr="00496528" w:rsidRDefault="008260F7" w:rsidP="00A859EB">
      <w:pPr>
        <w:shd w:val="clear" w:color="auto" w:fill="FFFFFF"/>
        <w:jc w:val="both"/>
        <w:rPr>
          <w:rFonts w:ascii="Times New Roman" w:hAnsi="Times New Roman"/>
          <w:b/>
          <w:sz w:val="24"/>
          <w:szCs w:val="24"/>
        </w:rPr>
      </w:pPr>
      <w:r>
        <w:rPr>
          <w:rFonts w:ascii="Times New Roman" w:hAnsi="Times New Roman"/>
          <w:b/>
          <w:color w:val="C45911"/>
          <w:sz w:val="24"/>
          <w:szCs w:val="24"/>
        </w:rPr>
        <w:t>6</w:t>
      </w:r>
      <w:r w:rsidR="00556BDD" w:rsidRPr="00496528">
        <w:rPr>
          <w:rFonts w:ascii="Times New Roman" w:hAnsi="Times New Roman"/>
          <w:b/>
          <w:color w:val="C45911"/>
          <w:sz w:val="24"/>
          <w:szCs w:val="24"/>
        </w:rPr>
        <w:t>. Posición en Moneda Extranjera y Protección por Riesgo Cambiario:</w:t>
      </w:r>
      <w:r w:rsidR="0035592D" w:rsidRPr="00496528">
        <w:rPr>
          <w:rFonts w:ascii="Times New Roman" w:hAnsi="Times New Roman"/>
          <w:b/>
          <w:color w:val="C45911"/>
          <w:sz w:val="24"/>
          <w:szCs w:val="24"/>
        </w:rPr>
        <w:t xml:space="preserve"> </w:t>
      </w:r>
      <w:r w:rsidR="0035592D" w:rsidRPr="00496528">
        <w:rPr>
          <w:rFonts w:ascii="Times New Roman" w:hAnsi="Times New Roman"/>
          <w:b/>
          <w:sz w:val="24"/>
          <w:szCs w:val="24"/>
        </w:rPr>
        <w:t>Esta nota no aplica al ente Público. No maneja moneda extranjera</w:t>
      </w:r>
    </w:p>
    <w:p w14:paraId="73B9425E" w14:textId="77777777" w:rsidR="00556BDD" w:rsidRPr="00496528" w:rsidRDefault="00556BDD" w:rsidP="00A859EB">
      <w:pPr>
        <w:shd w:val="clear" w:color="auto" w:fill="FFFFFF"/>
        <w:jc w:val="both"/>
        <w:rPr>
          <w:rFonts w:ascii="Times New Roman" w:hAnsi="Times New Roman"/>
          <w:b/>
          <w:sz w:val="20"/>
          <w:szCs w:val="20"/>
        </w:rPr>
      </w:pPr>
      <w:r w:rsidRPr="00496528">
        <w:rPr>
          <w:rFonts w:ascii="Times New Roman" w:hAnsi="Times New Roman"/>
          <w:sz w:val="20"/>
          <w:szCs w:val="20"/>
        </w:rPr>
        <w:t>a) Activos en moneda extranjera:</w:t>
      </w:r>
      <w:r w:rsidR="0035592D" w:rsidRPr="00496528">
        <w:rPr>
          <w:rFonts w:ascii="Times New Roman" w:hAnsi="Times New Roman"/>
          <w:sz w:val="20"/>
          <w:szCs w:val="20"/>
        </w:rPr>
        <w:t xml:space="preserve"> </w:t>
      </w:r>
      <w:r w:rsidRPr="00496528">
        <w:rPr>
          <w:rFonts w:ascii="Times New Roman" w:hAnsi="Times New Roman"/>
          <w:sz w:val="20"/>
          <w:szCs w:val="20"/>
        </w:rPr>
        <w:t>No Aplica</w:t>
      </w:r>
    </w:p>
    <w:p w14:paraId="25341779"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lastRenderedPageBreak/>
        <w:t>b) Pasivos en moneda extranjera:</w:t>
      </w:r>
      <w:r w:rsidR="0035592D" w:rsidRPr="00496528">
        <w:rPr>
          <w:rFonts w:ascii="Times New Roman" w:hAnsi="Times New Roman"/>
          <w:sz w:val="20"/>
          <w:szCs w:val="20"/>
        </w:rPr>
        <w:t xml:space="preserve"> </w:t>
      </w:r>
      <w:r w:rsidRPr="00496528">
        <w:rPr>
          <w:rFonts w:ascii="Times New Roman" w:hAnsi="Times New Roman"/>
          <w:sz w:val="20"/>
          <w:szCs w:val="20"/>
        </w:rPr>
        <w:t>No Aplica</w:t>
      </w:r>
    </w:p>
    <w:p w14:paraId="5A75323B"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c) Posición en moneda extranjera:</w:t>
      </w:r>
      <w:r w:rsidR="0035592D" w:rsidRPr="00496528">
        <w:rPr>
          <w:rFonts w:ascii="Times New Roman" w:hAnsi="Times New Roman"/>
          <w:sz w:val="20"/>
          <w:szCs w:val="20"/>
        </w:rPr>
        <w:t xml:space="preserve"> </w:t>
      </w:r>
      <w:r w:rsidRPr="00496528">
        <w:rPr>
          <w:rFonts w:ascii="Times New Roman" w:hAnsi="Times New Roman"/>
          <w:sz w:val="20"/>
          <w:szCs w:val="20"/>
        </w:rPr>
        <w:t>No Aplica</w:t>
      </w:r>
    </w:p>
    <w:p w14:paraId="5D14E0E4"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d) Tipo de cambio:</w:t>
      </w:r>
      <w:r w:rsidR="00A277AD" w:rsidRPr="00496528">
        <w:rPr>
          <w:rFonts w:ascii="Times New Roman" w:hAnsi="Times New Roman"/>
          <w:sz w:val="20"/>
          <w:szCs w:val="20"/>
        </w:rPr>
        <w:t xml:space="preserve"> </w:t>
      </w:r>
      <w:r w:rsidRPr="00496528">
        <w:rPr>
          <w:rFonts w:ascii="Times New Roman" w:hAnsi="Times New Roman"/>
          <w:sz w:val="20"/>
          <w:szCs w:val="20"/>
        </w:rPr>
        <w:t>No aplica</w:t>
      </w:r>
    </w:p>
    <w:p w14:paraId="05047468"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e) Equivalente en moneda nacional:</w:t>
      </w:r>
      <w:r w:rsidR="0035592D" w:rsidRPr="00496528">
        <w:rPr>
          <w:rFonts w:ascii="Times New Roman" w:hAnsi="Times New Roman"/>
          <w:sz w:val="20"/>
          <w:szCs w:val="20"/>
        </w:rPr>
        <w:t xml:space="preserve"> </w:t>
      </w:r>
      <w:r w:rsidRPr="00496528">
        <w:rPr>
          <w:rFonts w:ascii="Times New Roman" w:hAnsi="Times New Roman"/>
          <w:sz w:val="20"/>
          <w:szCs w:val="20"/>
        </w:rPr>
        <w:t>No Aplica</w:t>
      </w:r>
    </w:p>
    <w:p w14:paraId="16F26AA3"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Lo anterior por cada tipo de moneda extranjera que se encuentre en los rubros de activo y pasivo.</w:t>
      </w:r>
    </w:p>
    <w:p w14:paraId="6CF1B32C"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Adicionalmente se informará sobre los métodos de protección de riesgo por variaciones en el tipo de cambio.</w:t>
      </w:r>
    </w:p>
    <w:p w14:paraId="0F739586" w14:textId="77777777" w:rsidR="00F2586E" w:rsidRPr="00496528" w:rsidRDefault="00F2586E" w:rsidP="00F2586E">
      <w:pPr>
        <w:shd w:val="clear" w:color="auto" w:fill="FFFFFF"/>
        <w:spacing w:line="240" w:lineRule="auto"/>
        <w:jc w:val="both"/>
        <w:rPr>
          <w:rFonts w:ascii="Times New Roman" w:hAnsi="Times New Roman"/>
          <w:b/>
          <w:color w:val="C45911"/>
          <w:sz w:val="24"/>
          <w:szCs w:val="24"/>
        </w:rPr>
      </w:pPr>
    </w:p>
    <w:p w14:paraId="603BF6F1" w14:textId="72AC831E" w:rsidR="00556BDD" w:rsidRPr="00496528" w:rsidRDefault="008260F7" w:rsidP="00A859EB">
      <w:pPr>
        <w:shd w:val="clear" w:color="auto" w:fill="FFFFFF"/>
        <w:jc w:val="both"/>
        <w:rPr>
          <w:rFonts w:ascii="Times New Roman" w:hAnsi="Times New Roman"/>
          <w:b/>
          <w:color w:val="C45911"/>
          <w:sz w:val="24"/>
          <w:szCs w:val="24"/>
        </w:rPr>
      </w:pPr>
      <w:r>
        <w:rPr>
          <w:rFonts w:ascii="Times New Roman" w:hAnsi="Times New Roman"/>
          <w:b/>
          <w:color w:val="C45911"/>
          <w:sz w:val="24"/>
          <w:szCs w:val="24"/>
        </w:rPr>
        <w:t>7</w:t>
      </w:r>
      <w:r w:rsidR="00556BDD" w:rsidRPr="00496528">
        <w:rPr>
          <w:rFonts w:ascii="Times New Roman" w:hAnsi="Times New Roman"/>
          <w:b/>
          <w:color w:val="C45911"/>
          <w:sz w:val="24"/>
          <w:szCs w:val="24"/>
        </w:rPr>
        <w:t>. Reporte Analítico del Activo:</w:t>
      </w:r>
    </w:p>
    <w:p w14:paraId="777D5D67"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a) Vida útil o porcentajes de depreciación, deterioro o amortización utilizados en los diferentes tipos de activos:</w:t>
      </w:r>
    </w:p>
    <w:p w14:paraId="1F75412A"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La depreciación se aplica de la siguiente manera</w:t>
      </w:r>
      <w:r w:rsidR="00A277AD" w:rsidRPr="00496528">
        <w:rPr>
          <w:rFonts w:ascii="Times New Roman" w:hAnsi="Times New Roman"/>
          <w:sz w:val="20"/>
          <w:szCs w:val="20"/>
        </w:rPr>
        <w:t>:</w:t>
      </w:r>
      <w:r w:rsidRPr="00496528">
        <w:rPr>
          <w:rFonts w:ascii="Times New Roman" w:hAnsi="Times New Roman"/>
          <w:sz w:val="20"/>
          <w:szCs w:val="20"/>
        </w:rPr>
        <w:t xml:space="preserve"> mobiliario y equipo 10%, bienes informáticos 30%, equipo </w:t>
      </w:r>
      <w:r w:rsidR="00A277AD" w:rsidRPr="00496528">
        <w:rPr>
          <w:rFonts w:ascii="Times New Roman" w:hAnsi="Times New Roman"/>
          <w:sz w:val="20"/>
          <w:szCs w:val="20"/>
        </w:rPr>
        <w:t>de transporte</w:t>
      </w:r>
      <w:r w:rsidRPr="00496528">
        <w:rPr>
          <w:rFonts w:ascii="Times New Roman" w:hAnsi="Times New Roman"/>
          <w:sz w:val="20"/>
          <w:szCs w:val="20"/>
        </w:rPr>
        <w:t xml:space="preserve"> 25</w:t>
      </w:r>
      <w:r w:rsidR="0002447A" w:rsidRPr="00496528">
        <w:rPr>
          <w:rFonts w:ascii="Times New Roman" w:hAnsi="Times New Roman"/>
          <w:sz w:val="20"/>
          <w:szCs w:val="20"/>
        </w:rPr>
        <w:t>%, Amortización</w:t>
      </w:r>
      <w:r w:rsidRPr="00496528">
        <w:rPr>
          <w:rFonts w:ascii="Times New Roman" w:hAnsi="Times New Roman"/>
          <w:sz w:val="20"/>
          <w:szCs w:val="20"/>
        </w:rPr>
        <w:t xml:space="preserve"> de Bienes Intangible </w:t>
      </w:r>
      <w:r w:rsidR="003A2CCA" w:rsidRPr="00496528">
        <w:rPr>
          <w:rFonts w:ascii="Times New Roman" w:hAnsi="Times New Roman"/>
          <w:sz w:val="20"/>
          <w:szCs w:val="20"/>
        </w:rPr>
        <w:t>2</w:t>
      </w:r>
      <w:r w:rsidRPr="00496528">
        <w:rPr>
          <w:rFonts w:ascii="Times New Roman" w:hAnsi="Times New Roman"/>
          <w:sz w:val="20"/>
          <w:szCs w:val="20"/>
        </w:rPr>
        <w:t>5%</w:t>
      </w:r>
    </w:p>
    <w:p w14:paraId="7051AEC3"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 xml:space="preserve">b) Cambios en el porcentaje de </w:t>
      </w:r>
      <w:r w:rsidR="00024CC8" w:rsidRPr="00496528">
        <w:rPr>
          <w:rFonts w:ascii="Times New Roman" w:hAnsi="Times New Roman"/>
          <w:sz w:val="20"/>
          <w:szCs w:val="20"/>
        </w:rPr>
        <w:t xml:space="preserve">la </w:t>
      </w:r>
      <w:r w:rsidRPr="00496528">
        <w:rPr>
          <w:rFonts w:ascii="Times New Roman" w:hAnsi="Times New Roman"/>
          <w:sz w:val="20"/>
          <w:szCs w:val="20"/>
        </w:rPr>
        <w:t xml:space="preserve">depreciación o valor residual de los activos: </w:t>
      </w:r>
      <w:r w:rsidR="0035592D" w:rsidRPr="00496528">
        <w:rPr>
          <w:rFonts w:ascii="Times New Roman" w:hAnsi="Times New Roman"/>
          <w:sz w:val="20"/>
          <w:szCs w:val="20"/>
        </w:rPr>
        <w:t>Según su vida útil.</w:t>
      </w:r>
    </w:p>
    <w:p w14:paraId="08AA6C20"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c) Importe de los gastos capitalizados en el ejercicio, tanto financieros como de investigación y desarrollo:</w:t>
      </w:r>
      <w:r w:rsidR="0035592D" w:rsidRPr="00496528">
        <w:rPr>
          <w:rFonts w:ascii="Times New Roman" w:hAnsi="Times New Roman"/>
          <w:sz w:val="20"/>
          <w:szCs w:val="20"/>
        </w:rPr>
        <w:t xml:space="preserve"> </w:t>
      </w:r>
      <w:r w:rsidRPr="00496528">
        <w:rPr>
          <w:rFonts w:ascii="Times New Roman" w:hAnsi="Times New Roman"/>
          <w:sz w:val="20"/>
          <w:szCs w:val="20"/>
        </w:rPr>
        <w:t>No aplica.</w:t>
      </w:r>
    </w:p>
    <w:p w14:paraId="0D02AFB7"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d) Riesgos por tipo de cambio o tipo de interés de las inversiones financieras:</w:t>
      </w:r>
      <w:r w:rsidR="0035592D" w:rsidRPr="00496528">
        <w:rPr>
          <w:rFonts w:ascii="Times New Roman" w:hAnsi="Times New Roman"/>
          <w:sz w:val="20"/>
          <w:szCs w:val="20"/>
        </w:rPr>
        <w:t xml:space="preserve"> </w:t>
      </w:r>
      <w:r w:rsidRPr="00496528">
        <w:rPr>
          <w:rFonts w:ascii="Times New Roman" w:hAnsi="Times New Roman"/>
          <w:sz w:val="20"/>
          <w:szCs w:val="20"/>
        </w:rPr>
        <w:t>No aplica</w:t>
      </w:r>
    </w:p>
    <w:p w14:paraId="3B1BB9C6"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e) Valor activado en el ejercicio de los bienes construidos por la entidad:</w:t>
      </w:r>
      <w:r w:rsidR="0035592D" w:rsidRPr="00496528">
        <w:rPr>
          <w:rFonts w:ascii="Times New Roman" w:hAnsi="Times New Roman"/>
          <w:sz w:val="20"/>
          <w:szCs w:val="20"/>
        </w:rPr>
        <w:t xml:space="preserve"> </w:t>
      </w:r>
      <w:r w:rsidRPr="00496528">
        <w:rPr>
          <w:rFonts w:ascii="Times New Roman" w:hAnsi="Times New Roman"/>
          <w:sz w:val="20"/>
          <w:szCs w:val="20"/>
        </w:rPr>
        <w:t>No aplica</w:t>
      </w:r>
    </w:p>
    <w:p w14:paraId="31B2C6E9"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f) Otras circunstancias de carácter significativo que afecten el activo, tales como bienes en garantía, señalados en embargos, litigios, títulos de inversiones entregados en garantías, baja significativa del valor de inversiones financieras, etc.:</w:t>
      </w:r>
      <w:r w:rsidR="0035592D" w:rsidRPr="00496528">
        <w:rPr>
          <w:rFonts w:ascii="Times New Roman" w:hAnsi="Times New Roman"/>
          <w:sz w:val="20"/>
          <w:szCs w:val="20"/>
        </w:rPr>
        <w:t xml:space="preserve"> </w:t>
      </w:r>
      <w:r w:rsidRPr="00496528">
        <w:rPr>
          <w:rFonts w:ascii="Times New Roman" w:hAnsi="Times New Roman"/>
          <w:sz w:val="20"/>
          <w:szCs w:val="20"/>
        </w:rPr>
        <w:t>No aplica.</w:t>
      </w:r>
    </w:p>
    <w:p w14:paraId="3285944A"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g) Desmantelamiento de Activos, procedimientos, implicaciones, efectos contables:</w:t>
      </w:r>
      <w:r w:rsidR="007902DF" w:rsidRPr="00496528">
        <w:rPr>
          <w:rFonts w:ascii="Times New Roman" w:hAnsi="Times New Roman"/>
          <w:sz w:val="20"/>
          <w:szCs w:val="20"/>
        </w:rPr>
        <w:t xml:space="preserve"> No aplica</w:t>
      </w:r>
    </w:p>
    <w:p w14:paraId="4996A4D6"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Se somete a discreción de</w:t>
      </w:r>
      <w:r w:rsidR="0002447A" w:rsidRPr="00496528">
        <w:rPr>
          <w:rFonts w:ascii="Times New Roman" w:hAnsi="Times New Roman"/>
          <w:sz w:val="20"/>
          <w:szCs w:val="20"/>
        </w:rPr>
        <w:t>l</w:t>
      </w:r>
      <w:r w:rsidRPr="00496528">
        <w:rPr>
          <w:rFonts w:ascii="Times New Roman" w:hAnsi="Times New Roman"/>
          <w:sz w:val="20"/>
          <w:szCs w:val="20"/>
        </w:rPr>
        <w:t xml:space="preserve"> </w:t>
      </w:r>
      <w:r w:rsidR="005E6F14" w:rsidRPr="00496528">
        <w:rPr>
          <w:rFonts w:ascii="Times New Roman" w:hAnsi="Times New Roman"/>
          <w:sz w:val="20"/>
          <w:szCs w:val="20"/>
        </w:rPr>
        <w:t xml:space="preserve">Consejo Directivo </w:t>
      </w:r>
      <w:r w:rsidRPr="00496528">
        <w:rPr>
          <w:rFonts w:ascii="Times New Roman" w:hAnsi="Times New Roman"/>
          <w:sz w:val="20"/>
          <w:szCs w:val="20"/>
        </w:rPr>
        <w:t xml:space="preserve">su destino, apegados a la Ley de Adquisiciones y Enajenaciones, Arrendamientos y Contratación de Servicios del Sector Público en el Estado de Guanajuato. </w:t>
      </w:r>
    </w:p>
    <w:p w14:paraId="333E8A4C"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 xml:space="preserve">h) Administración de activos; planeación con el objetivo de que el ente los utilice de manera más efectiva: Los activos adquiridos son </w:t>
      </w:r>
      <w:r w:rsidR="00C656EA" w:rsidRPr="00496528">
        <w:rPr>
          <w:rFonts w:ascii="Times New Roman" w:hAnsi="Times New Roman"/>
          <w:sz w:val="20"/>
          <w:szCs w:val="20"/>
        </w:rPr>
        <w:t>inventariados y</w:t>
      </w:r>
      <w:r w:rsidRPr="00496528">
        <w:rPr>
          <w:rFonts w:ascii="Times New Roman" w:hAnsi="Times New Roman"/>
          <w:sz w:val="20"/>
          <w:szCs w:val="20"/>
        </w:rPr>
        <w:t xml:space="preserve"> se asignan al </w:t>
      </w:r>
      <w:r w:rsidR="00C656EA" w:rsidRPr="00496528">
        <w:rPr>
          <w:rFonts w:ascii="Times New Roman" w:hAnsi="Times New Roman"/>
          <w:sz w:val="20"/>
          <w:szCs w:val="20"/>
        </w:rPr>
        <w:t>personal, firman</w:t>
      </w:r>
      <w:r w:rsidRPr="00496528">
        <w:rPr>
          <w:rFonts w:ascii="Times New Roman" w:hAnsi="Times New Roman"/>
          <w:sz w:val="20"/>
          <w:szCs w:val="20"/>
        </w:rPr>
        <w:t xml:space="preserve"> un resguardo por el buen uso del activo.</w:t>
      </w:r>
    </w:p>
    <w:p w14:paraId="014C5650"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Adicionalmente, se deben incluir las explicaciones de las principales variaciones en el activo, en cuadros comparativos como sigue:</w:t>
      </w:r>
    </w:p>
    <w:p w14:paraId="6897E03A"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a) Inversiones en valores:</w:t>
      </w:r>
      <w:r w:rsidR="0035592D" w:rsidRPr="00496528">
        <w:rPr>
          <w:rFonts w:ascii="Times New Roman" w:hAnsi="Times New Roman"/>
          <w:sz w:val="20"/>
          <w:szCs w:val="20"/>
        </w:rPr>
        <w:t xml:space="preserve"> </w:t>
      </w:r>
      <w:r w:rsidRPr="00496528">
        <w:rPr>
          <w:rFonts w:ascii="Times New Roman" w:hAnsi="Times New Roman"/>
          <w:sz w:val="20"/>
          <w:szCs w:val="20"/>
        </w:rPr>
        <w:t>No aplica</w:t>
      </w:r>
    </w:p>
    <w:p w14:paraId="2581EE82"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b) Patrimonio de Organismos descentralizados de Control Presupuestario Indirecto:</w:t>
      </w:r>
    </w:p>
    <w:p w14:paraId="04A7C394"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c) Inversiones en empresas de participación mayoritaria:</w:t>
      </w:r>
      <w:r w:rsidR="0035592D" w:rsidRPr="00496528">
        <w:rPr>
          <w:rFonts w:ascii="Times New Roman" w:hAnsi="Times New Roman"/>
          <w:sz w:val="20"/>
          <w:szCs w:val="20"/>
        </w:rPr>
        <w:t xml:space="preserve"> </w:t>
      </w:r>
      <w:r w:rsidRPr="00496528">
        <w:rPr>
          <w:rFonts w:ascii="Times New Roman" w:hAnsi="Times New Roman"/>
          <w:sz w:val="20"/>
          <w:szCs w:val="20"/>
        </w:rPr>
        <w:t>No aplica.</w:t>
      </w:r>
    </w:p>
    <w:p w14:paraId="3306A9C8"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d) Inversiones en empresas de participación minoritaria:</w:t>
      </w:r>
      <w:r w:rsidR="0035592D" w:rsidRPr="00496528">
        <w:rPr>
          <w:rFonts w:ascii="Times New Roman" w:hAnsi="Times New Roman"/>
          <w:sz w:val="20"/>
          <w:szCs w:val="20"/>
        </w:rPr>
        <w:t xml:space="preserve"> </w:t>
      </w:r>
      <w:r w:rsidRPr="00496528">
        <w:rPr>
          <w:rFonts w:ascii="Times New Roman" w:hAnsi="Times New Roman"/>
          <w:sz w:val="20"/>
          <w:szCs w:val="20"/>
        </w:rPr>
        <w:t xml:space="preserve">No aplica </w:t>
      </w:r>
    </w:p>
    <w:p w14:paraId="21AC2D28"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e) Patrimonio de organismos descentralizados de control presupuestario directo, según corresponda</w:t>
      </w:r>
      <w:r w:rsidR="004A7B5D" w:rsidRPr="00496528">
        <w:rPr>
          <w:rFonts w:ascii="Times New Roman" w:hAnsi="Times New Roman"/>
          <w:sz w:val="20"/>
          <w:szCs w:val="20"/>
        </w:rPr>
        <w:t>:</w:t>
      </w:r>
    </w:p>
    <w:p w14:paraId="654D26A7" w14:textId="291CDB79" w:rsidR="00556BDD" w:rsidRPr="00496528" w:rsidRDefault="008260F7" w:rsidP="00A859EB">
      <w:pPr>
        <w:shd w:val="clear" w:color="auto" w:fill="FFFFFF"/>
        <w:jc w:val="both"/>
        <w:rPr>
          <w:rFonts w:ascii="Times New Roman" w:hAnsi="Times New Roman"/>
          <w:b/>
          <w:color w:val="C45911"/>
          <w:sz w:val="24"/>
          <w:szCs w:val="24"/>
        </w:rPr>
      </w:pPr>
      <w:r>
        <w:rPr>
          <w:rFonts w:ascii="Times New Roman" w:hAnsi="Times New Roman"/>
          <w:b/>
          <w:color w:val="C45911"/>
          <w:sz w:val="24"/>
          <w:szCs w:val="24"/>
        </w:rPr>
        <w:lastRenderedPageBreak/>
        <w:t>8</w:t>
      </w:r>
      <w:r w:rsidR="00556BDD" w:rsidRPr="00496528">
        <w:rPr>
          <w:rFonts w:ascii="Times New Roman" w:hAnsi="Times New Roman"/>
          <w:b/>
          <w:color w:val="C45911"/>
          <w:sz w:val="24"/>
          <w:szCs w:val="24"/>
        </w:rPr>
        <w:t>. Fideicomisos, Mandatos y Análogos:</w:t>
      </w:r>
      <w:r w:rsidR="0035592D" w:rsidRPr="00496528">
        <w:rPr>
          <w:rFonts w:ascii="Times New Roman" w:hAnsi="Times New Roman"/>
          <w:b/>
          <w:color w:val="C45911"/>
          <w:sz w:val="24"/>
          <w:szCs w:val="24"/>
        </w:rPr>
        <w:t xml:space="preserve"> Esta nota no aplica al </w:t>
      </w:r>
      <w:r w:rsidR="007902DF" w:rsidRPr="00496528">
        <w:rPr>
          <w:rFonts w:ascii="Times New Roman" w:hAnsi="Times New Roman"/>
          <w:b/>
          <w:color w:val="C45911"/>
          <w:sz w:val="24"/>
          <w:szCs w:val="24"/>
        </w:rPr>
        <w:t>ente Público por no manejar estos conceptos.</w:t>
      </w:r>
    </w:p>
    <w:p w14:paraId="5BD0CDAD"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a) Por ramo administrativo que los reporta:</w:t>
      </w:r>
    </w:p>
    <w:p w14:paraId="746F4D19"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b) Enlistar los de mayor monto de disponibilidad, relacionando aquéllos que conforman el 80% de las disponibilidades:</w:t>
      </w:r>
    </w:p>
    <w:p w14:paraId="6CED9D75" w14:textId="613D1AE7" w:rsidR="0035592D" w:rsidRPr="00496528" w:rsidRDefault="008260F7" w:rsidP="00A859EB">
      <w:pPr>
        <w:shd w:val="clear" w:color="auto" w:fill="FFFFFF"/>
        <w:jc w:val="both"/>
        <w:rPr>
          <w:rFonts w:ascii="Times New Roman" w:hAnsi="Times New Roman"/>
          <w:b/>
          <w:color w:val="C45911"/>
          <w:sz w:val="24"/>
          <w:szCs w:val="24"/>
        </w:rPr>
      </w:pPr>
      <w:r>
        <w:rPr>
          <w:rFonts w:ascii="Times New Roman" w:hAnsi="Times New Roman"/>
          <w:b/>
          <w:color w:val="C45911"/>
          <w:sz w:val="24"/>
          <w:szCs w:val="24"/>
        </w:rPr>
        <w:t>9</w:t>
      </w:r>
      <w:r w:rsidR="00556BDD" w:rsidRPr="00496528">
        <w:rPr>
          <w:rFonts w:ascii="Times New Roman" w:hAnsi="Times New Roman"/>
          <w:b/>
          <w:color w:val="C45911"/>
          <w:sz w:val="24"/>
          <w:szCs w:val="24"/>
        </w:rPr>
        <w:t>. Reporte de la Recaudación:</w:t>
      </w:r>
    </w:p>
    <w:p w14:paraId="72BE8890" w14:textId="77777777" w:rsidR="004A7B5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a) Análisis del comportamiento de la recaudación correspondiente al ente público o cualquier tipo de ingreso, de forma separada los ingresos locales</w:t>
      </w:r>
      <w:r w:rsidR="004A7B5D" w:rsidRPr="00496528">
        <w:rPr>
          <w:rFonts w:ascii="Times New Roman" w:hAnsi="Times New Roman"/>
          <w:sz w:val="20"/>
          <w:szCs w:val="20"/>
        </w:rPr>
        <w:t>, de los federales:</w:t>
      </w:r>
    </w:p>
    <w:p w14:paraId="1289EE48"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 xml:space="preserve">El IMPLAN, </w:t>
      </w:r>
      <w:r w:rsidR="004A7B5D" w:rsidRPr="00496528">
        <w:rPr>
          <w:rFonts w:ascii="Times New Roman" w:hAnsi="Times New Roman"/>
          <w:sz w:val="20"/>
          <w:szCs w:val="20"/>
        </w:rPr>
        <w:t xml:space="preserve">tiene </w:t>
      </w:r>
      <w:r w:rsidRPr="00496528">
        <w:rPr>
          <w:rFonts w:ascii="Times New Roman" w:hAnsi="Times New Roman"/>
          <w:sz w:val="20"/>
          <w:szCs w:val="20"/>
        </w:rPr>
        <w:t xml:space="preserve">apoyo por parte del Municipio a través </w:t>
      </w:r>
      <w:r w:rsidR="004A7B5D" w:rsidRPr="00496528">
        <w:rPr>
          <w:rFonts w:ascii="Times New Roman" w:hAnsi="Times New Roman"/>
          <w:sz w:val="20"/>
          <w:szCs w:val="20"/>
        </w:rPr>
        <w:t>de transferencias</w:t>
      </w:r>
      <w:r w:rsidRPr="00496528">
        <w:rPr>
          <w:rFonts w:ascii="Times New Roman" w:hAnsi="Times New Roman"/>
          <w:sz w:val="20"/>
          <w:szCs w:val="20"/>
        </w:rPr>
        <w:t xml:space="preserve"> y </w:t>
      </w:r>
      <w:r w:rsidR="00A277AD" w:rsidRPr="00496528">
        <w:rPr>
          <w:rFonts w:ascii="Times New Roman" w:hAnsi="Times New Roman"/>
          <w:sz w:val="20"/>
          <w:szCs w:val="20"/>
        </w:rPr>
        <w:t>eventualmente recurso</w:t>
      </w:r>
      <w:r w:rsidRPr="00496528">
        <w:rPr>
          <w:rFonts w:ascii="Times New Roman" w:hAnsi="Times New Roman"/>
          <w:sz w:val="20"/>
          <w:szCs w:val="20"/>
        </w:rPr>
        <w:t xml:space="preserve"> Federal Ramo </w:t>
      </w:r>
      <w:r w:rsidR="00A277AD" w:rsidRPr="00496528">
        <w:rPr>
          <w:rFonts w:ascii="Times New Roman" w:hAnsi="Times New Roman"/>
          <w:sz w:val="20"/>
          <w:szCs w:val="20"/>
        </w:rPr>
        <w:t>XXXIII.</w:t>
      </w:r>
      <w:r w:rsidRPr="00496528">
        <w:rPr>
          <w:rFonts w:ascii="Times New Roman" w:hAnsi="Times New Roman"/>
          <w:sz w:val="20"/>
          <w:szCs w:val="20"/>
        </w:rPr>
        <w:t xml:space="preserve"> Su comportamiento se mide con el Estado </w:t>
      </w:r>
      <w:r w:rsidR="00445AC6" w:rsidRPr="00496528">
        <w:rPr>
          <w:rFonts w:ascii="Times New Roman" w:hAnsi="Times New Roman"/>
          <w:sz w:val="20"/>
          <w:szCs w:val="20"/>
        </w:rPr>
        <w:t>Analítico</w:t>
      </w:r>
      <w:r w:rsidRPr="00496528">
        <w:rPr>
          <w:rFonts w:ascii="Times New Roman" w:hAnsi="Times New Roman"/>
          <w:sz w:val="20"/>
          <w:szCs w:val="20"/>
        </w:rPr>
        <w:t xml:space="preserve"> del Ingreso</w:t>
      </w:r>
      <w:r w:rsidR="007902DF" w:rsidRPr="00496528">
        <w:rPr>
          <w:rFonts w:ascii="Times New Roman" w:hAnsi="Times New Roman"/>
          <w:sz w:val="20"/>
          <w:szCs w:val="20"/>
        </w:rPr>
        <w:t xml:space="preserve"> y en las notas de desglose ERA-01</w:t>
      </w:r>
    </w:p>
    <w:p w14:paraId="5086FE45"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b) Proyección de la recaudación e ingresos en el mediano plazo:</w:t>
      </w:r>
      <w:r w:rsidR="0002447A" w:rsidRPr="00496528">
        <w:rPr>
          <w:rFonts w:ascii="Times New Roman" w:hAnsi="Times New Roman"/>
          <w:sz w:val="20"/>
          <w:szCs w:val="20"/>
        </w:rPr>
        <w:t xml:space="preserve"> </w:t>
      </w:r>
      <w:r w:rsidR="004A7B5D" w:rsidRPr="00496528">
        <w:rPr>
          <w:rFonts w:ascii="Times New Roman" w:hAnsi="Times New Roman"/>
          <w:sz w:val="20"/>
          <w:szCs w:val="20"/>
        </w:rPr>
        <w:t>Se reporta en las proyecciones de Disciplina Financiera.</w:t>
      </w:r>
    </w:p>
    <w:p w14:paraId="65D58D28" w14:textId="654B65F8" w:rsidR="00556BDD" w:rsidRPr="00496528" w:rsidRDefault="00556BDD" w:rsidP="00A859EB">
      <w:pPr>
        <w:shd w:val="clear" w:color="auto" w:fill="FFFFFF"/>
        <w:jc w:val="both"/>
        <w:rPr>
          <w:rFonts w:ascii="Times New Roman" w:hAnsi="Times New Roman"/>
          <w:b/>
          <w:color w:val="C45911"/>
          <w:sz w:val="24"/>
          <w:szCs w:val="24"/>
        </w:rPr>
      </w:pPr>
      <w:r w:rsidRPr="00496528">
        <w:rPr>
          <w:rFonts w:ascii="Times New Roman" w:hAnsi="Times New Roman"/>
          <w:b/>
          <w:color w:val="C45911"/>
          <w:sz w:val="24"/>
          <w:szCs w:val="24"/>
        </w:rPr>
        <w:t>1</w:t>
      </w:r>
      <w:r w:rsidR="008260F7">
        <w:rPr>
          <w:rFonts w:ascii="Times New Roman" w:hAnsi="Times New Roman"/>
          <w:b/>
          <w:color w:val="C45911"/>
          <w:sz w:val="24"/>
          <w:szCs w:val="24"/>
        </w:rPr>
        <w:t>0</w:t>
      </w:r>
      <w:r w:rsidRPr="00496528">
        <w:rPr>
          <w:rFonts w:ascii="Times New Roman" w:hAnsi="Times New Roman"/>
          <w:b/>
          <w:color w:val="C45911"/>
          <w:sz w:val="24"/>
          <w:szCs w:val="24"/>
        </w:rPr>
        <w:t xml:space="preserve">. Información sobre la Deuda y el Reporte Analítico de la Deuda: </w:t>
      </w:r>
      <w:r w:rsidR="0035592D" w:rsidRPr="00496528">
        <w:rPr>
          <w:rFonts w:ascii="Times New Roman" w:hAnsi="Times New Roman"/>
          <w:b/>
          <w:color w:val="C45911"/>
          <w:sz w:val="24"/>
          <w:szCs w:val="24"/>
        </w:rPr>
        <w:t>Esta nota no aplica al e</w:t>
      </w:r>
      <w:r w:rsidR="007902DF" w:rsidRPr="00496528">
        <w:rPr>
          <w:rFonts w:ascii="Times New Roman" w:hAnsi="Times New Roman"/>
          <w:b/>
          <w:color w:val="C45911"/>
          <w:sz w:val="24"/>
          <w:szCs w:val="24"/>
        </w:rPr>
        <w:t>nte Público, si</w:t>
      </w:r>
      <w:r w:rsidR="0035592D" w:rsidRPr="00496528">
        <w:rPr>
          <w:rFonts w:ascii="Times New Roman" w:hAnsi="Times New Roman"/>
          <w:b/>
          <w:color w:val="C45911"/>
          <w:sz w:val="24"/>
          <w:szCs w:val="24"/>
        </w:rPr>
        <w:t>n deuda</w:t>
      </w:r>
      <w:r w:rsidR="007902DF" w:rsidRPr="00496528">
        <w:rPr>
          <w:rFonts w:ascii="Times New Roman" w:hAnsi="Times New Roman"/>
          <w:b/>
          <w:color w:val="C45911"/>
          <w:sz w:val="24"/>
          <w:szCs w:val="24"/>
        </w:rPr>
        <w:t>.</w:t>
      </w:r>
    </w:p>
    <w:p w14:paraId="4C952D8B"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a) Utilizar al menos los siguientes indicadores: deuda respecto al PIB y deuda respecto a la recaudación tomando, como mínimo, un período igual o menor a 5 años.</w:t>
      </w:r>
    </w:p>
    <w:p w14:paraId="12010A8F"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b) Información de manera agrupada por tipo de valor gubernamental o instrumento financiero en la que se considere intereses, comisiones, tasa, perfil de vencimiento y otros gastos de la deuda.</w:t>
      </w:r>
    </w:p>
    <w:p w14:paraId="4CFEDA5A" w14:textId="77777777" w:rsidR="00556BDD" w:rsidRPr="00496528" w:rsidRDefault="005331E7" w:rsidP="00A859EB">
      <w:pPr>
        <w:shd w:val="clear" w:color="auto" w:fill="FFFFFF"/>
        <w:jc w:val="both"/>
        <w:rPr>
          <w:rFonts w:ascii="Times New Roman" w:hAnsi="Times New Roman"/>
          <w:sz w:val="20"/>
          <w:szCs w:val="20"/>
        </w:rPr>
      </w:pPr>
      <w:r w:rsidRPr="00496528">
        <w:rPr>
          <w:rFonts w:ascii="Times New Roman" w:hAnsi="Times New Roman"/>
          <w:sz w:val="20"/>
          <w:szCs w:val="20"/>
        </w:rPr>
        <w:t>Al 31 de diciembre del 202</w:t>
      </w:r>
      <w:r w:rsidR="004237E1" w:rsidRPr="00496528">
        <w:rPr>
          <w:rFonts w:ascii="Times New Roman" w:hAnsi="Times New Roman"/>
          <w:sz w:val="20"/>
          <w:szCs w:val="20"/>
        </w:rPr>
        <w:t>4</w:t>
      </w:r>
      <w:r w:rsidR="00DA598B" w:rsidRPr="00496528">
        <w:rPr>
          <w:rFonts w:ascii="Times New Roman" w:hAnsi="Times New Roman"/>
          <w:sz w:val="20"/>
          <w:szCs w:val="20"/>
        </w:rPr>
        <w:t xml:space="preserve">, el implan no cuenta con deuda a </w:t>
      </w:r>
      <w:r w:rsidR="002C22D5" w:rsidRPr="00496528">
        <w:rPr>
          <w:rFonts w:ascii="Times New Roman" w:hAnsi="Times New Roman"/>
          <w:sz w:val="20"/>
          <w:szCs w:val="20"/>
        </w:rPr>
        <w:t xml:space="preserve">corto ni a </w:t>
      </w:r>
      <w:r w:rsidR="00DA598B" w:rsidRPr="00496528">
        <w:rPr>
          <w:rFonts w:ascii="Times New Roman" w:hAnsi="Times New Roman"/>
          <w:sz w:val="20"/>
          <w:szCs w:val="20"/>
        </w:rPr>
        <w:t>largo plazo, solo los compromisos devengados al final del año pagaderos en el primer trimestre del 202</w:t>
      </w:r>
      <w:r w:rsidR="004237E1" w:rsidRPr="00496528">
        <w:rPr>
          <w:rFonts w:ascii="Times New Roman" w:hAnsi="Times New Roman"/>
          <w:sz w:val="20"/>
          <w:szCs w:val="20"/>
        </w:rPr>
        <w:t>5</w:t>
      </w:r>
      <w:r w:rsidR="00DA598B" w:rsidRPr="00496528">
        <w:rPr>
          <w:rFonts w:ascii="Times New Roman" w:hAnsi="Times New Roman"/>
          <w:sz w:val="20"/>
          <w:szCs w:val="20"/>
        </w:rPr>
        <w:t>.</w:t>
      </w:r>
    </w:p>
    <w:p w14:paraId="680B96B2" w14:textId="79FDA1ED" w:rsidR="00556BDD" w:rsidRPr="00496528" w:rsidRDefault="00556BDD" w:rsidP="00A859EB">
      <w:pPr>
        <w:shd w:val="clear" w:color="auto" w:fill="FFFFFF"/>
        <w:jc w:val="both"/>
        <w:rPr>
          <w:rFonts w:ascii="Times New Roman" w:hAnsi="Times New Roman"/>
          <w:b/>
          <w:color w:val="C45911"/>
          <w:sz w:val="24"/>
          <w:szCs w:val="24"/>
        </w:rPr>
      </w:pPr>
      <w:r w:rsidRPr="00496528">
        <w:rPr>
          <w:rFonts w:ascii="Times New Roman" w:hAnsi="Times New Roman"/>
          <w:b/>
          <w:color w:val="C45911"/>
          <w:sz w:val="24"/>
          <w:szCs w:val="24"/>
        </w:rPr>
        <w:t>1</w:t>
      </w:r>
      <w:r w:rsidR="008260F7">
        <w:rPr>
          <w:rFonts w:ascii="Times New Roman" w:hAnsi="Times New Roman"/>
          <w:b/>
          <w:color w:val="C45911"/>
          <w:sz w:val="24"/>
          <w:szCs w:val="24"/>
        </w:rPr>
        <w:t>1</w:t>
      </w:r>
      <w:r w:rsidRPr="00496528">
        <w:rPr>
          <w:rFonts w:ascii="Times New Roman" w:hAnsi="Times New Roman"/>
          <w:b/>
          <w:color w:val="C45911"/>
          <w:sz w:val="24"/>
          <w:szCs w:val="24"/>
        </w:rPr>
        <w:t>. Calificaciones otorgadas:</w:t>
      </w:r>
    </w:p>
    <w:p w14:paraId="1FA10900"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Informar, tanto del ente público como cualquier transacción realizada, que haya sido sujeta a una calificación crediticia:</w:t>
      </w:r>
    </w:p>
    <w:p w14:paraId="7FE312C6" w14:textId="77777777" w:rsidR="00556BDD" w:rsidRPr="00496528" w:rsidRDefault="00DA598B" w:rsidP="00A859EB">
      <w:pPr>
        <w:shd w:val="clear" w:color="auto" w:fill="FFFFFF"/>
        <w:jc w:val="both"/>
        <w:rPr>
          <w:rFonts w:ascii="Times New Roman" w:hAnsi="Times New Roman"/>
          <w:sz w:val="20"/>
          <w:szCs w:val="20"/>
        </w:rPr>
      </w:pPr>
      <w:r w:rsidRPr="00496528">
        <w:rPr>
          <w:rFonts w:ascii="Times New Roman" w:hAnsi="Times New Roman"/>
          <w:sz w:val="20"/>
          <w:szCs w:val="20"/>
        </w:rPr>
        <w:t>Contaba</w:t>
      </w:r>
      <w:r w:rsidR="00C656EA" w:rsidRPr="00496528">
        <w:rPr>
          <w:rFonts w:ascii="Times New Roman" w:hAnsi="Times New Roman"/>
          <w:sz w:val="20"/>
          <w:szCs w:val="20"/>
        </w:rPr>
        <w:t xml:space="preserve"> con una tarjeta de </w:t>
      </w:r>
      <w:r w:rsidR="0002447A" w:rsidRPr="00496528">
        <w:rPr>
          <w:rFonts w:ascii="Times New Roman" w:hAnsi="Times New Roman"/>
          <w:sz w:val="20"/>
          <w:szCs w:val="20"/>
        </w:rPr>
        <w:t>crédito</w:t>
      </w:r>
      <w:r w:rsidR="00C07A35" w:rsidRPr="00496528">
        <w:rPr>
          <w:rFonts w:ascii="Times New Roman" w:hAnsi="Times New Roman"/>
          <w:sz w:val="20"/>
          <w:szCs w:val="20"/>
        </w:rPr>
        <w:t xml:space="preserve">, </w:t>
      </w:r>
      <w:r w:rsidRPr="00496528">
        <w:rPr>
          <w:rFonts w:ascii="Times New Roman" w:hAnsi="Times New Roman"/>
          <w:sz w:val="20"/>
          <w:szCs w:val="20"/>
        </w:rPr>
        <w:t xml:space="preserve">que </w:t>
      </w:r>
      <w:r w:rsidR="00C07A35" w:rsidRPr="00496528">
        <w:rPr>
          <w:rFonts w:ascii="Times New Roman" w:hAnsi="Times New Roman"/>
          <w:sz w:val="20"/>
          <w:szCs w:val="20"/>
        </w:rPr>
        <w:t>solo se utiliza</w:t>
      </w:r>
      <w:r w:rsidR="00C656EA" w:rsidRPr="00496528">
        <w:rPr>
          <w:rFonts w:ascii="Times New Roman" w:hAnsi="Times New Roman"/>
          <w:sz w:val="20"/>
          <w:szCs w:val="20"/>
        </w:rPr>
        <w:t>ba</w:t>
      </w:r>
      <w:r w:rsidR="002C22D5" w:rsidRPr="00496528">
        <w:rPr>
          <w:rFonts w:ascii="Times New Roman" w:hAnsi="Times New Roman"/>
          <w:sz w:val="20"/>
          <w:szCs w:val="20"/>
        </w:rPr>
        <w:t xml:space="preserve"> para pagos de servicios de alojamiento página web, internet</w:t>
      </w:r>
      <w:r w:rsidR="00C07A35" w:rsidRPr="00496528">
        <w:rPr>
          <w:rFonts w:ascii="Times New Roman" w:hAnsi="Times New Roman"/>
          <w:sz w:val="20"/>
          <w:szCs w:val="20"/>
        </w:rPr>
        <w:t xml:space="preserve"> y se liquida</w:t>
      </w:r>
      <w:r w:rsidR="00C656EA" w:rsidRPr="00496528">
        <w:rPr>
          <w:rFonts w:ascii="Times New Roman" w:hAnsi="Times New Roman"/>
          <w:sz w:val="20"/>
          <w:szCs w:val="20"/>
        </w:rPr>
        <w:t>ba</w:t>
      </w:r>
      <w:r w:rsidR="00C07A35" w:rsidRPr="00496528">
        <w:rPr>
          <w:rFonts w:ascii="Times New Roman" w:hAnsi="Times New Roman"/>
          <w:sz w:val="20"/>
          <w:szCs w:val="20"/>
        </w:rPr>
        <w:t xml:space="preserve"> de inmediato.</w:t>
      </w:r>
      <w:r w:rsidR="00C656EA" w:rsidRPr="00496528">
        <w:rPr>
          <w:rFonts w:ascii="Times New Roman" w:hAnsi="Times New Roman"/>
          <w:sz w:val="20"/>
          <w:szCs w:val="20"/>
        </w:rPr>
        <w:t xml:space="preserve"> Al mes de </w:t>
      </w:r>
      <w:r w:rsidR="00350FC5" w:rsidRPr="00496528">
        <w:rPr>
          <w:rFonts w:ascii="Times New Roman" w:hAnsi="Times New Roman"/>
          <w:sz w:val="20"/>
          <w:szCs w:val="20"/>
        </w:rPr>
        <w:t>junio</w:t>
      </w:r>
      <w:r w:rsidR="00C656EA" w:rsidRPr="00496528">
        <w:rPr>
          <w:rFonts w:ascii="Times New Roman" w:hAnsi="Times New Roman"/>
          <w:sz w:val="20"/>
          <w:szCs w:val="20"/>
        </w:rPr>
        <w:t xml:space="preserve"> del 2019 se cancela. Al 31 de </w:t>
      </w:r>
      <w:r w:rsidR="00350FC5" w:rsidRPr="00496528">
        <w:rPr>
          <w:rFonts w:ascii="Times New Roman" w:hAnsi="Times New Roman"/>
          <w:sz w:val="20"/>
          <w:szCs w:val="20"/>
        </w:rPr>
        <w:t>enero</w:t>
      </w:r>
      <w:r w:rsidR="00C656EA" w:rsidRPr="00496528">
        <w:rPr>
          <w:rFonts w:ascii="Times New Roman" w:hAnsi="Times New Roman"/>
          <w:sz w:val="20"/>
          <w:szCs w:val="20"/>
        </w:rPr>
        <w:t xml:space="preserve"> del 2020, cuenta con una tarjeta de </w:t>
      </w:r>
      <w:r w:rsidR="00CC5260" w:rsidRPr="00496528">
        <w:rPr>
          <w:rFonts w:ascii="Times New Roman" w:hAnsi="Times New Roman"/>
          <w:sz w:val="20"/>
          <w:szCs w:val="20"/>
        </w:rPr>
        <w:t>débito, con</w:t>
      </w:r>
      <w:r w:rsidRPr="00496528">
        <w:rPr>
          <w:rFonts w:ascii="Times New Roman" w:hAnsi="Times New Roman"/>
          <w:sz w:val="20"/>
          <w:szCs w:val="20"/>
        </w:rPr>
        <w:t xml:space="preserve"> límit</w:t>
      </w:r>
      <w:r w:rsidR="00CC5260" w:rsidRPr="00496528">
        <w:rPr>
          <w:rFonts w:ascii="Times New Roman" w:hAnsi="Times New Roman"/>
          <w:sz w:val="20"/>
          <w:szCs w:val="20"/>
        </w:rPr>
        <w:t>e de gasto, sigue vigente al 202</w:t>
      </w:r>
      <w:r w:rsidR="004237E1" w:rsidRPr="00496528">
        <w:rPr>
          <w:rFonts w:ascii="Times New Roman" w:hAnsi="Times New Roman"/>
          <w:sz w:val="20"/>
          <w:szCs w:val="20"/>
        </w:rPr>
        <w:t>5</w:t>
      </w:r>
      <w:r w:rsidR="00CC5260" w:rsidRPr="00496528">
        <w:rPr>
          <w:rFonts w:ascii="Times New Roman" w:hAnsi="Times New Roman"/>
          <w:sz w:val="20"/>
          <w:szCs w:val="20"/>
        </w:rPr>
        <w:t>.</w:t>
      </w:r>
    </w:p>
    <w:p w14:paraId="45542499" w14:textId="53AA573D" w:rsidR="00556BDD" w:rsidRPr="00496528" w:rsidRDefault="00556BDD" w:rsidP="00A859EB">
      <w:pPr>
        <w:shd w:val="clear" w:color="auto" w:fill="FFFFFF"/>
        <w:jc w:val="both"/>
        <w:rPr>
          <w:rFonts w:ascii="Times New Roman" w:hAnsi="Times New Roman"/>
          <w:b/>
          <w:color w:val="C45911"/>
          <w:sz w:val="24"/>
          <w:szCs w:val="24"/>
        </w:rPr>
      </w:pPr>
      <w:r w:rsidRPr="00496528">
        <w:rPr>
          <w:rFonts w:ascii="Times New Roman" w:hAnsi="Times New Roman"/>
          <w:b/>
          <w:color w:val="C45911"/>
          <w:sz w:val="24"/>
          <w:szCs w:val="24"/>
        </w:rPr>
        <w:t>1</w:t>
      </w:r>
      <w:r w:rsidR="008260F7">
        <w:rPr>
          <w:rFonts w:ascii="Times New Roman" w:hAnsi="Times New Roman"/>
          <w:b/>
          <w:color w:val="C45911"/>
          <w:sz w:val="24"/>
          <w:szCs w:val="24"/>
        </w:rPr>
        <w:t>2</w:t>
      </w:r>
      <w:r w:rsidRPr="00496528">
        <w:rPr>
          <w:rFonts w:ascii="Times New Roman" w:hAnsi="Times New Roman"/>
          <w:b/>
          <w:color w:val="C45911"/>
          <w:sz w:val="24"/>
          <w:szCs w:val="24"/>
        </w:rPr>
        <w:t>. Proceso de Mejora:</w:t>
      </w:r>
    </w:p>
    <w:p w14:paraId="480CE65C"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Se informará de:</w:t>
      </w:r>
    </w:p>
    <w:p w14:paraId="31EE3D07"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a) Principales Políticas de control interno:</w:t>
      </w:r>
    </w:p>
    <w:p w14:paraId="1BA7F4B6"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 xml:space="preserve">Se emitieron los Lineamientos </w:t>
      </w:r>
      <w:r w:rsidR="007902DF" w:rsidRPr="00496528">
        <w:rPr>
          <w:rFonts w:ascii="Times New Roman" w:hAnsi="Times New Roman"/>
          <w:sz w:val="20"/>
          <w:szCs w:val="20"/>
        </w:rPr>
        <w:t xml:space="preserve">Generales </w:t>
      </w:r>
      <w:r w:rsidRPr="00496528">
        <w:rPr>
          <w:rFonts w:ascii="Times New Roman" w:hAnsi="Times New Roman"/>
          <w:sz w:val="20"/>
          <w:szCs w:val="20"/>
        </w:rPr>
        <w:t>Administrativ</w:t>
      </w:r>
      <w:r w:rsidR="001337B0" w:rsidRPr="00496528">
        <w:rPr>
          <w:rFonts w:ascii="Times New Roman" w:hAnsi="Times New Roman"/>
          <w:sz w:val="20"/>
          <w:szCs w:val="20"/>
        </w:rPr>
        <w:t xml:space="preserve">os </w:t>
      </w:r>
      <w:r w:rsidR="007902DF" w:rsidRPr="00496528">
        <w:rPr>
          <w:rFonts w:ascii="Times New Roman" w:hAnsi="Times New Roman"/>
          <w:sz w:val="20"/>
          <w:szCs w:val="20"/>
        </w:rPr>
        <w:t xml:space="preserve">y </w:t>
      </w:r>
      <w:r w:rsidR="001337B0" w:rsidRPr="00496528">
        <w:rPr>
          <w:rFonts w:ascii="Times New Roman" w:hAnsi="Times New Roman"/>
          <w:sz w:val="20"/>
          <w:szCs w:val="20"/>
        </w:rPr>
        <w:t xml:space="preserve">de </w:t>
      </w:r>
      <w:r w:rsidR="00350FC5" w:rsidRPr="00496528">
        <w:rPr>
          <w:rFonts w:ascii="Times New Roman" w:hAnsi="Times New Roman"/>
          <w:sz w:val="20"/>
          <w:szCs w:val="20"/>
        </w:rPr>
        <w:t>Racionalidad, Austeridad</w:t>
      </w:r>
      <w:r w:rsidR="007902DF" w:rsidRPr="00496528">
        <w:rPr>
          <w:rFonts w:ascii="Times New Roman" w:hAnsi="Times New Roman"/>
          <w:sz w:val="20"/>
          <w:szCs w:val="20"/>
        </w:rPr>
        <w:t xml:space="preserve"> y disciplina Presupuestal del Instituto Municipal de Planeación de Irapuato, Gto, para el ejercicio fiscal </w:t>
      </w:r>
      <w:r w:rsidR="00350FC5" w:rsidRPr="00496528">
        <w:rPr>
          <w:rFonts w:ascii="Times New Roman" w:hAnsi="Times New Roman"/>
          <w:sz w:val="20"/>
          <w:szCs w:val="20"/>
        </w:rPr>
        <w:t>del año</w:t>
      </w:r>
      <w:r w:rsidR="00FD4B53" w:rsidRPr="00496528">
        <w:rPr>
          <w:rFonts w:ascii="Times New Roman" w:hAnsi="Times New Roman"/>
          <w:sz w:val="20"/>
          <w:szCs w:val="20"/>
        </w:rPr>
        <w:t xml:space="preserve"> </w:t>
      </w:r>
      <w:r w:rsidR="002C22D5" w:rsidRPr="00496528">
        <w:rPr>
          <w:rFonts w:ascii="Times New Roman" w:hAnsi="Times New Roman"/>
          <w:sz w:val="20"/>
          <w:szCs w:val="20"/>
        </w:rPr>
        <w:t>202</w:t>
      </w:r>
      <w:r w:rsidR="004237E1" w:rsidRPr="00496528">
        <w:rPr>
          <w:rFonts w:ascii="Times New Roman" w:hAnsi="Times New Roman"/>
          <w:sz w:val="20"/>
          <w:szCs w:val="20"/>
        </w:rPr>
        <w:t>5</w:t>
      </w:r>
      <w:r w:rsidR="007902DF" w:rsidRPr="00496528">
        <w:rPr>
          <w:rFonts w:ascii="Times New Roman" w:hAnsi="Times New Roman"/>
          <w:sz w:val="20"/>
          <w:szCs w:val="20"/>
        </w:rPr>
        <w:t>.</w:t>
      </w:r>
    </w:p>
    <w:p w14:paraId="1563A251" w14:textId="77777777" w:rsidR="006D5C09"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b) Medidas de desempeño financiero, metas y alcance:</w:t>
      </w:r>
      <w:r w:rsidR="006D5C09" w:rsidRPr="00496528">
        <w:rPr>
          <w:rFonts w:ascii="Times New Roman" w:hAnsi="Times New Roman"/>
          <w:sz w:val="20"/>
          <w:szCs w:val="20"/>
        </w:rPr>
        <w:t xml:space="preserve"> </w:t>
      </w:r>
    </w:p>
    <w:p w14:paraId="2A56B9BF" w14:textId="77777777" w:rsidR="00556BDD" w:rsidRPr="00496528" w:rsidRDefault="00DA598B" w:rsidP="00F2586E">
      <w:pPr>
        <w:shd w:val="clear" w:color="auto" w:fill="FFFFFF"/>
        <w:spacing w:line="240" w:lineRule="auto"/>
        <w:jc w:val="both"/>
        <w:rPr>
          <w:rFonts w:ascii="Times New Roman" w:hAnsi="Times New Roman"/>
          <w:sz w:val="20"/>
          <w:szCs w:val="20"/>
        </w:rPr>
      </w:pPr>
      <w:r w:rsidRPr="00496528">
        <w:rPr>
          <w:rFonts w:ascii="Times New Roman" w:hAnsi="Times New Roman"/>
          <w:sz w:val="20"/>
          <w:szCs w:val="20"/>
        </w:rPr>
        <w:t>Con el presupuesto basado en resultados, s</w:t>
      </w:r>
      <w:r w:rsidR="006D5C09" w:rsidRPr="00496528">
        <w:rPr>
          <w:rFonts w:ascii="Times New Roman" w:hAnsi="Times New Roman"/>
          <w:sz w:val="20"/>
          <w:szCs w:val="20"/>
        </w:rPr>
        <w:t>e verifica</w:t>
      </w:r>
      <w:r w:rsidRPr="00496528">
        <w:rPr>
          <w:rFonts w:ascii="Times New Roman" w:hAnsi="Times New Roman"/>
          <w:sz w:val="20"/>
          <w:szCs w:val="20"/>
        </w:rPr>
        <w:t xml:space="preserve">n, las metas y alcances además de </w:t>
      </w:r>
      <w:r w:rsidR="006D5C09" w:rsidRPr="00496528">
        <w:rPr>
          <w:rFonts w:ascii="Times New Roman" w:hAnsi="Times New Roman"/>
          <w:sz w:val="20"/>
          <w:szCs w:val="20"/>
        </w:rPr>
        <w:t xml:space="preserve">los ahorros obtenidos mes a mes para destinarlos a partidas con </w:t>
      </w:r>
      <w:r w:rsidR="00A277AD" w:rsidRPr="00496528">
        <w:rPr>
          <w:rFonts w:ascii="Times New Roman" w:hAnsi="Times New Roman"/>
          <w:sz w:val="20"/>
          <w:szCs w:val="20"/>
        </w:rPr>
        <w:t>insuficiencia presupuestal</w:t>
      </w:r>
      <w:r w:rsidR="006D5C09" w:rsidRPr="00496528">
        <w:rPr>
          <w:rFonts w:ascii="Times New Roman" w:hAnsi="Times New Roman"/>
          <w:sz w:val="20"/>
          <w:szCs w:val="20"/>
        </w:rPr>
        <w:t xml:space="preserve"> o para la adquisición de equipo que amerite reemplazo. </w:t>
      </w:r>
    </w:p>
    <w:p w14:paraId="0DB4DEBE" w14:textId="77777777" w:rsidR="008260F7" w:rsidRDefault="008260F7" w:rsidP="00A859EB">
      <w:pPr>
        <w:shd w:val="clear" w:color="auto" w:fill="FFFFFF"/>
        <w:jc w:val="both"/>
        <w:rPr>
          <w:rFonts w:ascii="Times New Roman" w:hAnsi="Times New Roman"/>
          <w:b/>
          <w:color w:val="C45911"/>
          <w:sz w:val="24"/>
          <w:szCs w:val="24"/>
        </w:rPr>
      </w:pPr>
    </w:p>
    <w:p w14:paraId="5C209054" w14:textId="475B1EAE" w:rsidR="00556BDD" w:rsidRPr="00496528" w:rsidRDefault="00556BDD" w:rsidP="00A859EB">
      <w:pPr>
        <w:shd w:val="clear" w:color="auto" w:fill="FFFFFF"/>
        <w:jc w:val="both"/>
        <w:rPr>
          <w:rFonts w:ascii="Times New Roman" w:hAnsi="Times New Roman"/>
          <w:b/>
          <w:color w:val="C45911"/>
          <w:sz w:val="24"/>
          <w:szCs w:val="24"/>
        </w:rPr>
      </w:pPr>
      <w:r w:rsidRPr="00496528">
        <w:rPr>
          <w:rFonts w:ascii="Times New Roman" w:hAnsi="Times New Roman"/>
          <w:b/>
          <w:color w:val="C45911"/>
          <w:sz w:val="24"/>
          <w:szCs w:val="24"/>
        </w:rPr>
        <w:lastRenderedPageBreak/>
        <w:t>1</w:t>
      </w:r>
      <w:r w:rsidR="008260F7">
        <w:rPr>
          <w:rFonts w:ascii="Times New Roman" w:hAnsi="Times New Roman"/>
          <w:b/>
          <w:color w:val="C45911"/>
          <w:sz w:val="24"/>
          <w:szCs w:val="24"/>
        </w:rPr>
        <w:t>3</w:t>
      </w:r>
      <w:r w:rsidRPr="00496528">
        <w:rPr>
          <w:rFonts w:ascii="Times New Roman" w:hAnsi="Times New Roman"/>
          <w:b/>
          <w:color w:val="C45911"/>
          <w:sz w:val="24"/>
          <w:szCs w:val="24"/>
        </w:rPr>
        <w:t>. Información por Segmentos:</w:t>
      </w:r>
    </w:p>
    <w:p w14:paraId="684DCC57"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0BA5200B"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Consecuentemente, esta información contribuye al análisis más preciso de la situación financiera, grados y fuentes de riesgo y crecimiento potencial de negocio.</w:t>
      </w:r>
    </w:p>
    <w:p w14:paraId="58CAF1D4" w14:textId="033A6207" w:rsidR="00556BDD" w:rsidRPr="00496528" w:rsidRDefault="00556BDD" w:rsidP="00A859EB">
      <w:pPr>
        <w:shd w:val="clear" w:color="auto" w:fill="FFFFFF"/>
        <w:jc w:val="both"/>
        <w:rPr>
          <w:rFonts w:ascii="Times New Roman" w:hAnsi="Times New Roman"/>
          <w:b/>
          <w:color w:val="C45911"/>
          <w:sz w:val="24"/>
          <w:szCs w:val="24"/>
        </w:rPr>
      </w:pPr>
      <w:r w:rsidRPr="00496528">
        <w:rPr>
          <w:rFonts w:ascii="Times New Roman" w:hAnsi="Times New Roman"/>
          <w:b/>
          <w:color w:val="C45911"/>
          <w:sz w:val="24"/>
          <w:szCs w:val="24"/>
        </w:rPr>
        <w:t>1</w:t>
      </w:r>
      <w:r w:rsidR="008260F7">
        <w:rPr>
          <w:rFonts w:ascii="Times New Roman" w:hAnsi="Times New Roman"/>
          <w:b/>
          <w:color w:val="C45911"/>
          <w:sz w:val="24"/>
          <w:szCs w:val="24"/>
        </w:rPr>
        <w:t>4</w:t>
      </w:r>
      <w:r w:rsidRPr="00496528">
        <w:rPr>
          <w:rFonts w:ascii="Times New Roman" w:hAnsi="Times New Roman"/>
          <w:b/>
          <w:color w:val="C45911"/>
          <w:sz w:val="24"/>
          <w:szCs w:val="24"/>
        </w:rPr>
        <w:t>. Eventos Posteriores al Cierre:</w:t>
      </w:r>
    </w:p>
    <w:p w14:paraId="7CAC35D1"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 xml:space="preserve">El ente público informará el efecto en sus estados financieros de aquellos hechos ocurridos en el período posterior al que informa, que proporcionan mayor evidencia sobre eventos que le </w:t>
      </w:r>
      <w:r w:rsidR="00A277AD" w:rsidRPr="00496528">
        <w:rPr>
          <w:rFonts w:ascii="Times New Roman" w:hAnsi="Times New Roman"/>
          <w:sz w:val="20"/>
          <w:szCs w:val="20"/>
        </w:rPr>
        <w:t>afectan económicamente</w:t>
      </w:r>
      <w:r w:rsidRPr="00496528">
        <w:rPr>
          <w:rFonts w:ascii="Times New Roman" w:hAnsi="Times New Roman"/>
          <w:sz w:val="20"/>
          <w:szCs w:val="20"/>
        </w:rPr>
        <w:t xml:space="preserve"> y que no se conocían a la fecha de cierre.</w:t>
      </w:r>
      <w:r w:rsidR="00C656EA" w:rsidRPr="00496528">
        <w:rPr>
          <w:rFonts w:ascii="Times New Roman" w:hAnsi="Times New Roman"/>
          <w:sz w:val="20"/>
          <w:szCs w:val="20"/>
        </w:rPr>
        <w:t xml:space="preserve"> Solo pasivos comprometidos y serán reflejados en los periodos subsecuentes.</w:t>
      </w:r>
    </w:p>
    <w:p w14:paraId="75999107" w14:textId="3C04F4BF" w:rsidR="00556BDD" w:rsidRPr="00496528" w:rsidRDefault="00556BDD" w:rsidP="00A859EB">
      <w:pPr>
        <w:shd w:val="clear" w:color="auto" w:fill="FFFFFF"/>
        <w:jc w:val="both"/>
        <w:rPr>
          <w:rFonts w:ascii="Times New Roman" w:hAnsi="Times New Roman"/>
          <w:b/>
          <w:color w:val="C45911"/>
          <w:sz w:val="24"/>
          <w:szCs w:val="24"/>
        </w:rPr>
      </w:pPr>
      <w:r w:rsidRPr="00496528">
        <w:rPr>
          <w:rFonts w:ascii="Times New Roman" w:hAnsi="Times New Roman"/>
          <w:b/>
          <w:color w:val="C45911"/>
          <w:sz w:val="24"/>
          <w:szCs w:val="24"/>
        </w:rPr>
        <w:t>1</w:t>
      </w:r>
      <w:r w:rsidR="008260F7">
        <w:rPr>
          <w:rFonts w:ascii="Times New Roman" w:hAnsi="Times New Roman"/>
          <w:b/>
          <w:color w:val="C45911"/>
          <w:sz w:val="24"/>
          <w:szCs w:val="24"/>
        </w:rPr>
        <w:t>5</w:t>
      </w:r>
      <w:r w:rsidRPr="00496528">
        <w:rPr>
          <w:rFonts w:ascii="Times New Roman" w:hAnsi="Times New Roman"/>
          <w:b/>
          <w:color w:val="C45911"/>
          <w:sz w:val="24"/>
          <w:szCs w:val="24"/>
        </w:rPr>
        <w:t>. Partes Relacionadas:</w:t>
      </w:r>
    </w:p>
    <w:p w14:paraId="1F5DAE5C" w14:textId="77777777" w:rsidR="00556BDD" w:rsidRPr="00496528" w:rsidRDefault="00556BDD" w:rsidP="00A859EB">
      <w:pPr>
        <w:shd w:val="clear" w:color="auto" w:fill="FFFFFF"/>
        <w:jc w:val="both"/>
        <w:rPr>
          <w:rFonts w:ascii="Times New Roman" w:hAnsi="Times New Roman"/>
          <w:sz w:val="20"/>
          <w:szCs w:val="20"/>
        </w:rPr>
      </w:pPr>
      <w:r w:rsidRPr="00496528">
        <w:rPr>
          <w:rFonts w:ascii="Times New Roman" w:hAnsi="Times New Roman"/>
          <w:sz w:val="20"/>
          <w:szCs w:val="20"/>
        </w:rPr>
        <w:t>Se debe establecer por escrito que no existen partes relacionadas que pudieran ejercer influencia significativa sobre la toma de decisiones financieras y operativas:</w:t>
      </w:r>
    </w:p>
    <w:p w14:paraId="67F6B9CA" w14:textId="771DF4FA" w:rsidR="00556BDD" w:rsidRPr="00496528" w:rsidRDefault="00556BDD" w:rsidP="00A859EB">
      <w:pPr>
        <w:shd w:val="clear" w:color="auto" w:fill="FFFFFF"/>
        <w:jc w:val="both"/>
        <w:rPr>
          <w:rFonts w:ascii="Times New Roman" w:hAnsi="Times New Roman"/>
          <w:b/>
          <w:color w:val="C45911"/>
          <w:sz w:val="24"/>
          <w:szCs w:val="24"/>
        </w:rPr>
      </w:pPr>
      <w:r w:rsidRPr="00496528">
        <w:rPr>
          <w:rFonts w:ascii="Times New Roman" w:hAnsi="Times New Roman"/>
          <w:b/>
          <w:color w:val="C45911"/>
          <w:sz w:val="24"/>
          <w:szCs w:val="24"/>
        </w:rPr>
        <w:t>1</w:t>
      </w:r>
      <w:r w:rsidR="008260F7">
        <w:rPr>
          <w:rFonts w:ascii="Times New Roman" w:hAnsi="Times New Roman"/>
          <w:b/>
          <w:color w:val="C45911"/>
          <w:sz w:val="24"/>
          <w:szCs w:val="24"/>
        </w:rPr>
        <w:t>6</w:t>
      </w:r>
      <w:r w:rsidRPr="00496528">
        <w:rPr>
          <w:rFonts w:ascii="Times New Roman" w:hAnsi="Times New Roman"/>
          <w:b/>
          <w:color w:val="C45911"/>
          <w:sz w:val="24"/>
          <w:szCs w:val="24"/>
        </w:rPr>
        <w:t>. Responsabilidad sobre la presentación razonable de los Estados Financieros:</w:t>
      </w:r>
    </w:p>
    <w:p w14:paraId="7F426753" w14:textId="77777777" w:rsidR="00556BDD" w:rsidRPr="00496528" w:rsidRDefault="00556BDD" w:rsidP="00A859EB">
      <w:pPr>
        <w:shd w:val="clear" w:color="auto" w:fill="FFFFFF"/>
        <w:jc w:val="both"/>
        <w:rPr>
          <w:rFonts w:ascii="Times New Roman" w:hAnsi="Times New Roman"/>
          <w:b/>
          <w:i/>
          <w:sz w:val="20"/>
          <w:szCs w:val="20"/>
        </w:rPr>
      </w:pPr>
      <w:r w:rsidRPr="00496528">
        <w:rPr>
          <w:rFonts w:ascii="Times New Roman" w:hAnsi="Times New Roman"/>
          <w:sz w:val="20"/>
          <w:szCs w:val="20"/>
        </w:rPr>
        <w:t xml:space="preserve">Los Estados Financieros deberán estar rubricados en cada página de los mismos e incluir al final la siguiente leyenda: </w:t>
      </w:r>
      <w:r w:rsidRPr="00496528">
        <w:rPr>
          <w:rFonts w:ascii="Times New Roman" w:hAnsi="Times New Roman"/>
          <w:b/>
          <w:i/>
          <w:sz w:val="20"/>
          <w:szCs w:val="20"/>
        </w:rPr>
        <w:t>“Bajo protesta de decir verdad declaramos que los Estados Financieros y sus notas, son razonablemente correctos y son responsabilidad del emisor</w:t>
      </w:r>
      <w:r w:rsidR="00C93F16" w:rsidRPr="00496528">
        <w:rPr>
          <w:rFonts w:ascii="Times New Roman" w:hAnsi="Times New Roman"/>
          <w:b/>
          <w:i/>
          <w:sz w:val="20"/>
          <w:szCs w:val="20"/>
        </w:rPr>
        <w:t>”</w:t>
      </w:r>
      <w:r w:rsidRPr="00496528">
        <w:rPr>
          <w:rFonts w:ascii="Times New Roman" w:hAnsi="Times New Roman"/>
          <w:b/>
          <w:i/>
          <w:sz w:val="20"/>
          <w:szCs w:val="20"/>
        </w:rPr>
        <w:t>.</w:t>
      </w:r>
    </w:p>
    <w:p w14:paraId="37D77977" w14:textId="534C1E2B" w:rsidR="00085157" w:rsidRPr="00496528" w:rsidRDefault="00085157" w:rsidP="00556BDD">
      <w:pPr>
        <w:jc w:val="both"/>
        <w:rPr>
          <w:rFonts w:ascii="Times New Roman" w:hAnsi="Times New Roman"/>
          <w:sz w:val="20"/>
          <w:szCs w:val="20"/>
        </w:rPr>
      </w:pPr>
    </w:p>
    <w:p w14:paraId="605BA56B" w14:textId="77777777" w:rsidR="00873E9A" w:rsidRPr="00496528" w:rsidRDefault="00873E9A" w:rsidP="00556BDD">
      <w:pPr>
        <w:jc w:val="both"/>
        <w:rPr>
          <w:rFonts w:ascii="Times New Roman" w:hAnsi="Times New Roman"/>
          <w:sz w:val="20"/>
          <w:szCs w:val="20"/>
        </w:rPr>
      </w:pPr>
      <w:r w:rsidRPr="00496528">
        <w:rPr>
          <w:noProof/>
        </w:rPr>
        <mc:AlternateContent>
          <mc:Choice Requires="wps">
            <w:drawing>
              <wp:anchor distT="0" distB="0" distL="114300" distR="114300" simplePos="0" relativeHeight="251661312" behindDoc="0" locked="0" layoutInCell="1" allowOverlap="1" wp14:anchorId="5CB7A409" wp14:editId="0C1CC5FD">
                <wp:simplePos x="0" y="0"/>
                <wp:positionH relativeFrom="column">
                  <wp:posOffset>2759384</wp:posOffset>
                </wp:positionH>
                <wp:positionV relativeFrom="paragraph">
                  <wp:posOffset>254179</wp:posOffset>
                </wp:positionV>
                <wp:extent cx="3209925" cy="562654"/>
                <wp:effectExtent l="0" t="0" r="9525" b="8890"/>
                <wp:wrapNone/>
                <wp:docPr id="4" name="9 CuadroTexto">
                  <a:extLst xmlns:a="http://schemas.openxmlformats.org/drawingml/2006/main">
                    <a:ext uri="{FF2B5EF4-FFF2-40B4-BE49-F238E27FC236}">
                      <a16:creationId xmlns:a16="http://schemas.microsoft.com/office/drawing/2014/main" id="{7DB6AA31-DE1C-4530-B454-250233B1EF2A}"/>
                    </a:ext>
                  </a:extLst>
                </wp:docPr>
                <wp:cNvGraphicFramePr/>
                <a:graphic xmlns:a="http://schemas.openxmlformats.org/drawingml/2006/main">
                  <a:graphicData uri="http://schemas.microsoft.com/office/word/2010/wordprocessingShape">
                    <wps:wsp>
                      <wps:cNvSpPr txBox="1"/>
                      <wps:spPr>
                        <a:xfrm>
                          <a:off x="0" y="0"/>
                          <a:ext cx="3209925" cy="562654"/>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7C05EF37" w14:textId="77777777" w:rsidR="00873E9A" w:rsidRPr="00496528" w:rsidRDefault="00873E9A" w:rsidP="00873E9A">
                            <w:pPr>
                              <w:jc w:val="center"/>
                              <w:textAlignment w:val="baseline"/>
                              <w:rPr>
                                <w:rFonts w:ascii="Arial" w:hAnsi="Arial" w:cs="Arial"/>
                                <w:color w:val="000000"/>
                                <w:sz w:val="20"/>
                                <w:szCs w:val="20"/>
                              </w:rPr>
                            </w:pPr>
                            <w:r w:rsidRPr="00496528">
                              <w:rPr>
                                <w:rFonts w:ascii="Arial" w:hAnsi="Arial" w:cs="Arial"/>
                                <w:color w:val="000000"/>
                                <w:sz w:val="20"/>
                                <w:szCs w:val="20"/>
                              </w:rPr>
                              <w:t xml:space="preserve">Directora General del IMPLAN </w:t>
                            </w:r>
                          </w:p>
                          <w:p w14:paraId="0AB71455" w14:textId="77777777" w:rsidR="00873E9A" w:rsidRPr="00496528" w:rsidRDefault="00873E9A" w:rsidP="00873E9A">
                            <w:pPr>
                              <w:jc w:val="center"/>
                              <w:textAlignment w:val="baseline"/>
                              <w:rPr>
                                <w:rFonts w:ascii="Arial" w:hAnsi="Arial" w:cs="Arial"/>
                                <w:b/>
                                <w:bCs/>
                                <w:color w:val="000000"/>
                                <w:sz w:val="20"/>
                                <w:szCs w:val="20"/>
                              </w:rPr>
                            </w:pPr>
                            <w:r w:rsidRPr="00496528">
                              <w:rPr>
                                <w:rFonts w:ascii="Arial" w:hAnsi="Arial" w:cs="Arial"/>
                                <w:b/>
                                <w:bCs/>
                                <w:color w:val="000000"/>
                                <w:sz w:val="20"/>
                                <w:szCs w:val="20"/>
                              </w:rPr>
                              <w:t>Teresita del Carmen Gallardo Arroyo</w:t>
                            </w:r>
                          </w:p>
                        </w:txbxContent>
                      </wps:txbx>
                      <wps:bodyPr vertOverflow="clip" horzOverflow="clip" wrap="square" rtlCol="0" anchor="t"/>
                    </wps:wsp>
                  </a:graphicData>
                </a:graphic>
              </wp:anchor>
            </w:drawing>
          </mc:Choice>
          <mc:Fallback>
            <w:pict>
              <v:shapetype w14:anchorId="76F78580" id="_x0000_t202" coordsize="21600,21600" o:spt="202" path="m,l,21600r21600,l21600,xe">
                <v:stroke joinstyle="miter"/>
                <v:path gradientshapeok="t" o:connecttype="rect"/>
              </v:shapetype>
              <v:shape id="9 CuadroTexto" o:spid="_x0000_s1026" type="#_x0000_t202" style="position:absolute;left:0;text-align:left;margin-left:217.25pt;margin-top:20pt;width:252.75pt;height:44.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k8VAwIAAGIEAAAOAAAAZHJzL2Uyb0RvYy54bWysVE1vEzEQvSPxHyzfyaYLiUiUTSValQui&#10;iJYf4HjtXQvbY8ZudsOvZ+zNB5RTERdnbc+8N+95Jpvr0Vm2VxgN+IZfzeacKS+hNb5r+LfHuzfv&#10;OYtJ+FZY8KrhBxX59fb1q80Q1qqGHmyrkBGIj+shNLxPKayrKspeORFnEJSnSw3oRKItdlWLYiB0&#10;Z6t6Pl9WA2AbEKSKkU5vp0u+LfhaK5nutY4qMdtwqi2VFcu6y2u13Yh1hyL0Rh7LEP9QhRPGE+kZ&#10;6lYkwZ7Q/AXljESIoNNMgqtAayNV0UBqrubP1Dz0IqiihcyJ4WxT/H+w8vP+IXxBlsYPMNIDZkOG&#10;ENeRDrOeUaPLv1Qpo3uy8HC2TY2JSTp8W89Xq3rBmaS7xbJeLt5lmOqSHTCmjwocyx8NR3qW4pbY&#10;f4ppCj2FZLII1rR3xtqyya2gbiyyvaBHtKnUSOB/RFnPhoavFqUMF9qGR98VDg8ZaSKxnsq6yCtf&#10;6WBV5rH+q9LMtEXlRIzdLvNO7UL9TOpPTUP8JSEHasJ/Ye4xJWer0qUvzD8nFX7w6ZzvjAcswssM&#10;XYxrv5+M01P8yYrJgOxFGnfj8f130B6oLWiy0z0t2gLZK60JnPWAP5+fDTRBZPmPJ4GKM0z2BqaB&#10;E15SfMNT6YhMQo1ceuM4dHlSft+Xqi5/DdtfAAAA//8DAFBLAwQUAAYACAAAACEAry0sHuAAAAAK&#10;AQAADwAAAGRycy9kb3ducmV2LnhtbEyPQUvDQBCF74L/YRnBi9iNsZYmZlOKoAcPYlopHqfJmASz&#10;syG7aWN/vaMXvb3HfLx5L1tNtlMHGnzr2MDNLAJFXLqq5drA2/bxegnKB+QKO8dk4Is8rPLzswzT&#10;yh25oMMm1EpC2KdooAmhT7X2ZUMW/cz1xHL7cIPFIHaodTXgUcJtp+MoWmiLLcuHBnt6aKj83IzW&#10;wNV7sk6wpe1zvEt2xel1LE5PL8ZcXkzre1CBpvAHw099qQ65dNq7kSuvOgPz2/mdoCIi2SRA8iv2&#10;QsbLBeg80/8n5N8AAAD//wMAUEsBAi0AFAAGAAgAAAAhALaDOJL+AAAA4QEAABMAAAAAAAAAAAAA&#10;AAAAAAAAAFtDb250ZW50X1R5cGVzXS54bWxQSwECLQAUAAYACAAAACEAOP0h/9YAAACUAQAACwAA&#10;AAAAAAAAAAAAAAAvAQAAX3JlbHMvLnJlbHNQSwECLQAUAAYACAAAACEAnV5PFQMCAABiBAAADgAA&#10;AAAAAAAAAAAAAAAuAgAAZHJzL2Uyb0RvYy54bWxQSwECLQAUAAYACAAAACEAry0sHuAAAAAKAQAA&#10;DwAAAAAAAAAAAAAAAABdBAAAZHJzL2Rvd25yZXYueG1sUEsFBgAAAAAEAAQA8wAAAGoFAAAAAA==&#10;" fillcolor="white [3201]" stroked="f">
                <v:textbox>
                  <w:txbxContent>
                    <w:p w:rsidR="00873E9A" w:rsidRPr="00496528" w:rsidRDefault="00873E9A" w:rsidP="00873E9A">
                      <w:pPr>
                        <w:jc w:val="center"/>
                        <w:textAlignment w:val="baseline"/>
                        <w:rPr>
                          <w:rFonts w:ascii="Arial" w:hAnsi="Arial" w:cs="Arial"/>
                          <w:color w:val="000000"/>
                          <w:sz w:val="20"/>
                          <w:szCs w:val="20"/>
                        </w:rPr>
                      </w:pPr>
                      <w:r w:rsidRPr="00496528">
                        <w:rPr>
                          <w:rFonts w:ascii="Arial" w:hAnsi="Arial" w:cs="Arial"/>
                          <w:color w:val="000000"/>
                          <w:sz w:val="20"/>
                          <w:szCs w:val="20"/>
                        </w:rPr>
                        <w:t xml:space="preserve">Directora General del IMPLAN </w:t>
                      </w:r>
                    </w:p>
                    <w:p w:rsidR="00873E9A" w:rsidRPr="00496528" w:rsidRDefault="00873E9A" w:rsidP="00873E9A">
                      <w:pPr>
                        <w:jc w:val="center"/>
                        <w:textAlignment w:val="baseline"/>
                        <w:rPr>
                          <w:rFonts w:ascii="Arial" w:hAnsi="Arial" w:cs="Arial"/>
                          <w:b/>
                          <w:bCs/>
                          <w:color w:val="000000"/>
                          <w:sz w:val="20"/>
                          <w:szCs w:val="20"/>
                        </w:rPr>
                      </w:pPr>
                      <w:r w:rsidRPr="00496528">
                        <w:rPr>
                          <w:rFonts w:ascii="Arial" w:hAnsi="Arial" w:cs="Arial"/>
                          <w:b/>
                          <w:bCs/>
                          <w:color w:val="000000"/>
                          <w:sz w:val="20"/>
                          <w:szCs w:val="20"/>
                        </w:rPr>
                        <w:t>Teresita del Carmen Gallardo Arroyo</w:t>
                      </w:r>
                    </w:p>
                  </w:txbxContent>
                </v:textbox>
              </v:shape>
            </w:pict>
          </mc:Fallback>
        </mc:AlternateContent>
      </w:r>
    </w:p>
    <w:p w14:paraId="36E5D5E2" w14:textId="77777777" w:rsidR="00873E9A" w:rsidRDefault="00873E9A" w:rsidP="00556BDD">
      <w:pPr>
        <w:jc w:val="both"/>
        <w:rPr>
          <w:rFonts w:ascii="Times New Roman" w:hAnsi="Times New Roman"/>
          <w:sz w:val="20"/>
          <w:szCs w:val="20"/>
        </w:rPr>
      </w:pPr>
      <w:r w:rsidRPr="00496528">
        <w:rPr>
          <w:noProof/>
        </w:rPr>
        <mc:AlternateContent>
          <mc:Choice Requires="wps">
            <w:drawing>
              <wp:anchor distT="0" distB="0" distL="114300" distR="114300" simplePos="0" relativeHeight="251659264" behindDoc="0" locked="0" layoutInCell="1" allowOverlap="1" wp14:anchorId="46E430C9" wp14:editId="3B305980">
                <wp:simplePos x="0" y="0"/>
                <wp:positionH relativeFrom="column">
                  <wp:posOffset>0</wp:posOffset>
                </wp:positionH>
                <wp:positionV relativeFrom="paragraph">
                  <wp:posOffset>0</wp:posOffset>
                </wp:positionV>
                <wp:extent cx="2276475" cy="577016"/>
                <wp:effectExtent l="0" t="0" r="9525" b="0"/>
                <wp:wrapNone/>
                <wp:docPr id="3" name="9 CuadroTexto">
                  <a:extLst xmlns:a="http://schemas.openxmlformats.org/drawingml/2006/main">
                    <a:ext uri="{FF2B5EF4-FFF2-40B4-BE49-F238E27FC236}">
                      <a16:creationId xmlns:a16="http://schemas.microsoft.com/office/drawing/2014/main" id="{BF9A38E8-1AA6-42E0-9312-DFB05E4F7710}"/>
                    </a:ext>
                  </a:extLst>
                </wp:docPr>
                <wp:cNvGraphicFramePr/>
                <a:graphic xmlns:a="http://schemas.openxmlformats.org/drawingml/2006/main">
                  <a:graphicData uri="http://schemas.microsoft.com/office/word/2010/wordprocessingShape">
                    <wps:wsp>
                      <wps:cNvSpPr txBox="1"/>
                      <wps:spPr>
                        <a:xfrm>
                          <a:off x="0" y="0"/>
                          <a:ext cx="2276475" cy="577016"/>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3BE1FD0E" w14:textId="77777777" w:rsidR="00873E9A" w:rsidRPr="00AD321B" w:rsidRDefault="00496528" w:rsidP="00873E9A">
                            <w:pPr>
                              <w:jc w:val="center"/>
                              <w:textAlignment w:val="baseline"/>
                              <w:rPr>
                                <w:rFonts w:ascii="Arial" w:hAnsi="Arial" w:cs="Arial"/>
                                <w:color w:val="000000"/>
                                <w:sz w:val="16"/>
                                <w:szCs w:val="16"/>
                                <w:lang w:val="pt-BR"/>
                              </w:rPr>
                            </w:pPr>
                            <w:r w:rsidRPr="00AD321B">
                              <w:rPr>
                                <w:rFonts w:ascii="Arial" w:hAnsi="Arial" w:cs="Arial"/>
                                <w:color w:val="000000"/>
                                <w:sz w:val="16"/>
                                <w:szCs w:val="16"/>
                                <w:lang w:val="pt-BR"/>
                              </w:rPr>
                              <w:t xml:space="preserve">Elaboro: </w:t>
                            </w:r>
                            <w:r w:rsidR="00873E9A" w:rsidRPr="00AD321B">
                              <w:rPr>
                                <w:rFonts w:ascii="Arial" w:hAnsi="Arial" w:cs="Arial"/>
                                <w:color w:val="000000"/>
                                <w:sz w:val="16"/>
                                <w:szCs w:val="16"/>
                                <w:lang w:val="pt-BR"/>
                              </w:rPr>
                              <w:t>Coordinador</w:t>
                            </w:r>
                            <w:r w:rsidRPr="00AD321B">
                              <w:rPr>
                                <w:rFonts w:ascii="Arial" w:hAnsi="Arial" w:cs="Arial"/>
                                <w:color w:val="000000"/>
                                <w:sz w:val="16"/>
                                <w:szCs w:val="16"/>
                                <w:lang w:val="pt-BR"/>
                              </w:rPr>
                              <w:t>a</w:t>
                            </w:r>
                            <w:r w:rsidR="00873E9A" w:rsidRPr="00AD321B">
                              <w:rPr>
                                <w:rFonts w:ascii="Arial" w:hAnsi="Arial" w:cs="Arial"/>
                                <w:color w:val="000000"/>
                                <w:sz w:val="16"/>
                                <w:szCs w:val="16"/>
                                <w:lang w:val="pt-BR"/>
                              </w:rPr>
                              <w:t xml:space="preserve"> Administrativ</w:t>
                            </w:r>
                            <w:r w:rsidRPr="00AD321B">
                              <w:rPr>
                                <w:rFonts w:ascii="Arial" w:hAnsi="Arial" w:cs="Arial"/>
                                <w:color w:val="000000"/>
                                <w:sz w:val="16"/>
                                <w:szCs w:val="16"/>
                                <w:lang w:val="pt-BR"/>
                              </w:rPr>
                              <w:t>a</w:t>
                            </w:r>
                          </w:p>
                          <w:p w14:paraId="67B5DBEC" w14:textId="77777777" w:rsidR="00873E9A" w:rsidRPr="00AD321B" w:rsidRDefault="00873E9A" w:rsidP="00873E9A">
                            <w:pPr>
                              <w:jc w:val="center"/>
                              <w:textAlignment w:val="baseline"/>
                              <w:rPr>
                                <w:rFonts w:ascii="Arial" w:hAnsi="Arial" w:cs="Arial"/>
                                <w:b/>
                                <w:bCs/>
                                <w:color w:val="000000"/>
                                <w:sz w:val="20"/>
                                <w:szCs w:val="20"/>
                                <w:lang w:val="pt-BR"/>
                              </w:rPr>
                            </w:pPr>
                            <w:r w:rsidRPr="00AD321B">
                              <w:rPr>
                                <w:rFonts w:ascii="Arial" w:hAnsi="Arial" w:cs="Arial"/>
                                <w:b/>
                                <w:bCs/>
                                <w:color w:val="000000"/>
                                <w:sz w:val="20"/>
                                <w:szCs w:val="20"/>
                                <w:lang w:val="pt-BR"/>
                              </w:rPr>
                              <w:t xml:space="preserve">Sara Gabriela Méndez Ramírez </w:t>
                            </w:r>
                          </w:p>
                        </w:txbxContent>
                      </wps:txbx>
                      <wps:bodyPr vertOverflow="clip" horzOverflow="clip" wrap="square" rtlCol="0" anchor="t"/>
                    </wps:wsp>
                  </a:graphicData>
                </a:graphic>
              </wp:anchor>
            </w:drawing>
          </mc:Choice>
          <mc:Fallback>
            <w:pict>
              <v:shapetype w14:anchorId="6A90C808" id="_x0000_t202" coordsize="21600,21600" o:spt="202" path="m,l,21600r21600,l21600,xe">
                <v:stroke joinstyle="miter"/>
                <v:path gradientshapeok="t" o:connecttype="rect"/>
              </v:shapetype>
              <v:shape id="_x0000_s1027" type="#_x0000_t202" style="position:absolute;left:0;text-align:left;margin-left:0;margin-top:0;width:179.25pt;height:45.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5ZBgIAAGkEAAAOAAAAZHJzL2Uyb0RvYy54bWysVMFuEzEQvSPxD5bvZJOIJBBlU4lW5YIo&#10;ovABjtfOWtgeM3azG76esTfZlPbUiouztmfem3l+k81V7yw7KIwGfM1nkylnyktojN/X/OeP23cf&#10;OItJ+EZY8KrmRxX51fbtm00X1moOLdhGISMQH9ddqHmbUlhXVZStciJOIChPlxrQiURb3FcNio7Q&#10;na3m0+my6gCbgCBVjHR6M1zybcHXWsl0p3VUidmaU22prFjWXV6r7Uas9yhCa+SpDPGKKpwwnkhH&#10;qBuRBHtA8wzKGYkQQaeJBFeB1kaq0gN1M5s+6ea+FUGVXkicGEaZ4v+DlV8P9+EbstR/gp4eMAvS&#10;hbiOdJj76TW6/EuVMronCY+jbKpPTNLhfL5avl8tOJN0t1itprNlhqku2QFj+qzAsfxRc6RnKWqJ&#10;w5eYhtBzSCaLYE1za6wtm2wFdW2RHQQ9ok2lRgL/J8p61tX842Key3ChqXn0+8LhISMNJNZTWZf2&#10;ylc6WpV5rP+uNDNN6XIgxv0u8w52IT9T92fTEH9JyIGa8F+Ye0rJ2aq49IX5Y1LhB5/GfGc8YGm8&#10;zNBFuObXWTg9xJ+lGATIWqR+15MCj2ywg+ZI7qABT3e0aAuksrQmcNYC/nl61tEgkfK/HwQqzjDZ&#10;axjmTnhJ8TVPxRiZi/xcLHKavTwwj/eluMs/xPYvAAAA//8DAFBLAwQUAAYACAAAACEAx6mRvN4A&#10;AAAEAQAADwAAAGRycy9kb3ducmV2LnhtbEyPQUvDQBCF70L/wzIFL2I3rVS6MZtSBD14ENNK8TjN&#10;jklodjZkN23sr3f1opeBx3u89022Hm0rTtT7xrGG+SwBQVw603Cl4X33dLsC4QOywdYxafgiD+t8&#10;cpVhatyZCzptQyViCfsUNdQhdKmUvqzJop+5jjh6n663GKLsK2l6PMdy28pFktxLiw3HhRo7eqyp&#10;PG4Hq+HmQ20UNrR7WezVvri8DcXl+VXr6+m4eQARaAx/YfjBj+iQR6aDG9h40WqIj4TfG7275WoJ&#10;4qBBJQpknsn/8Pk3AAAA//8DAFBLAQItABQABgAIAAAAIQC2gziS/gAAAOEBAAATAAAAAAAAAAAA&#10;AAAAAAAAAABbQ29udGVudF9UeXBlc10ueG1sUEsBAi0AFAAGAAgAAAAhADj9If/WAAAAlAEAAAsA&#10;AAAAAAAAAAAAAAAALwEAAF9yZWxzLy5yZWxzUEsBAi0AFAAGAAgAAAAhAMj7HlkGAgAAaQQAAA4A&#10;AAAAAAAAAAAAAAAALgIAAGRycy9lMm9Eb2MueG1sUEsBAi0AFAAGAAgAAAAhAMepkbzeAAAABAEA&#10;AA8AAAAAAAAAAAAAAAAAYAQAAGRycy9kb3ducmV2LnhtbFBLBQYAAAAABAAEAPMAAABrBQAAAAA=&#10;" fillcolor="white [3201]" stroked="f">
                <v:textbox>
                  <w:txbxContent>
                    <w:p w:rsidR="00873E9A" w:rsidRPr="00AD321B" w:rsidRDefault="00496528" w:rsidP="00873E9A">
                      <w:pPr>
                        <w:jc w:val="center"/>
                        <w:textAlignment w:val="baseline"/>
                        <w:rPr>
                          <w:rFonts w:ascii="Arial" w:hAnsi="Arial" w:cs="Arial"/>
                          <w:color w:val="000000"/>
                          <w:sz w:val="16"/>
                          <w:szCs w:val="16"/>
                          <w:lang w:val="pt-BR"/>
                        </w:rPr>
                      </w:pPr>
                      <w:r w:rsidRPr="00AD321B">
                        <w:rPr>
                          <w:rFonts w:ascii="Arial" w:hAnsi="Arial" w:cs="Arial"/>
                          <w:color w:val="000000"/>
                          <w:sz w:val="16"/>
                          <w:szCs w:val="16"/>
                          <w:lang w:val="pt-BR"/>
                        </w:rPr>
                        <w:t xml:space="preserve">Elaboro: </w:t>
                      </w:r>
                      <w:r w:rsidR="00873E9A" w:rsidRPr="00AD321B">
                        <w:rPr>
                          <w:rFonts w:ascii="Arial" w:hAnsi="Arial" w:cs="Arial"/>
                          <w:color w:val="000000"/>
                          <w:sz w:val="16"/>
                          <w:szCs w:val="16"/>
                          <w:lang w:val="pt-BR"/>
                        </w:rPr>
                        <w:t>Coordinador</w:t>
                      </w:r>
                      <w:r w:rsidRPr="00AD321B">
                        <w:rPr>
                          <w:rFonts w:ascii="Arial" w:hAnsi="Arial" w:cs="Arial"/>
                          <w:color w:val="000000"/>
                          <w:sz w:val="16"/>
                          <w:szCs w:val="16"/>
                          <w:lang w:val="pt-BR"/>
                        </w:rPr>
                        <w:t>a</w:t>
                      </w:r>
                      <w:r w:rsidR="00873E9A" w:rsidRPr="00AD321B">
                        <w:rPr>
                          <w:rFonts w:ascii="Arial" w:hAnsi="Arial" w:cs="Arial"/>
                          <w:color w:val="000000"/>
                          <w:sz w:val="16"/>
                          <w:szCs w:val="16"/>
                          <w:lang w:val="pt-BR"/>
                        </w:rPr>
                        <w:t xml:space="preserve"> Administrativ</w:t>
                      </w:r>
                      <w:r w:rsidRPr="00AD321B">
                        <w:rPr>
                          <w:rFonts w:ascii="Arial" w:hAnsi="Arial" w:cs="Arial"/>
                          <w:color w:val="000000"/>
                          <w:sz w:val="16"/>
                          <w:szCs w:val="16"/>
                          <w:lang w:val="pt-BR"/>
                        </w:rPr>
                        <w:t>a</w:t>
                      </w:r>
                    </w:p>
                    <w:p w:rsidR="00873E9A" w:rsidRPr="00AD321B" w:rsidRDefault="00873E9A" w:rsidP="00873E9A">
                      <w:pPr>
                        <w:jc w:val="center"/>
                        <w:textAlignment w:val="baseline"/>
                        <w:rPr>
                          <w:rFonts w:ascii="Arial" w:hAnsi="Arial" w:cs="Arial"/>
                          <w:b/>
                          <w:bCs/>
                          <w:color w:val="000000"/>
                          <w:sz w:val="20"/>
                          <w:szCs w:val="20"/>
                          <w:lang w:val="pt-BR"/>
                        </w:rPr>
                      </w:pPr>
                      <w:r w:rsidRPr="00AD321B">
                        <w:rPr>
                          <w:rFonts w:ascii="Arial" w:hAnsi="Arial" w:cs="Arial"/>
                          <w:b/>
                          <w:bCs/>
                          <w:color w:val="000000"/>
                          <w:sz w:val="20"/>
                          <w:szCs w:val="20"/>
                          <w:lang w:val="pt-BR"/>
                        </w:rPr>
                        <w:t xml:space="preserve">Sara Gabriela Méndez Ramírez </w:t>
                      </w:r>
                    </w:p>
                  </w:txbxContent>
                </v:textbox>
              </v:shape>
            </w:pict>
          </mc:Fallback>
        </mc:AlternateContent>
      </w:r>
    </w:p>
    <w:sectPr w:rsidR="00873E9A" w:rsidSect="00085157">
      <w:headerReference w:type="default" r:id="rId7"/>
      <w:footerReference w:type="default" r:id="rId8"/>
      <w:pgSz w:w="12240" w:h="15840" w:code="1"/>
      <w:pgMar w:top="720" w:right="851" w:bottom="720" w:left="1134"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69EC2" w14:textId="77777777" w:rsidR="00D43108" w:rsidRPr="00496528" w:rsidRDefault="00D43108" w:rsidP="00DE2F84">
      <w:pPr>
        <w:spacing w:after="0" w:line="240" w:lineRule="auto"/>
      </w:pPr>
      <w:r w:rsidRPr="00496528">
        <w:separator/>
      </w:r>
    </w:p>
  </w:endnote>
  <w:endnote w:type="continuationSeparator" w:id="0">
    <w:p w14:paraId="0E86E130" w14:textId="77777777" w:rsidR="00D43108" w:rsidRPr="00496528" w:rsidRDefault="00D43108" w:rsidP="00DE2F84">
      <w:pPr>
        <w:spacing w:after="0" w:line="240" w:lineRule="auto"/>
      </w:pPr>
      <w:r w:rsidRPr="004965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58EE" w14:textId="77777777" w:rsidR="00881850" w:rsidRPr="00496528" w:rsidRDefault="00881850">
    <w:pPr>
      <w:pStyle w:val="Piedepgina"/>
      <w:jc w:val="right"/>
      <w:rPr>
        <w:sz w:val="16"/>
        <w:szCs w:val="16"/>
      </w:rPr>
    </w:pPr>
    <w:r w:rsidRPr="00496528">
      <w:rPr>
        <w:sz w:val="16"/>
        <w:szCs w:val="16"/>
      </w:rPr>
      <w:t xml:space="preserve">Página </w:t>
    </w:r>
    <w:r w:rsidRPr="00496528">
      <w:rPr>
        <w:b/>
        <w:bCs/>
        <w:sz w:val="16"/>
        <w:szCs w:val="16"/>
      </w:rPr>
      <w:fldChar w:fldCharType="begin"/>
    </w:r>
    <w:r w:rsidRPr="00496528">
      <w:rPr>
        <w:b/>
        <w:bCs/>
        <w:sz w:val="16"/>
        <w:szCs w:val="16"/>
      </w:rPr>
      <w:instrText>PAGE</w:instrText>
    </w:r>
    <w:r w:rsidRPr="00496528">
      <w:rPr>
        <w:b/>
        <w:bCs/>
        <w:sz w:val="16"/>
        <w:szCs w:val="16"/>
      </w:rPr>
      <w:fldChar w:fldCharType="separate"/>
    </w:r>
    <w:r w:rsidR="00147C4A" w:rsidRPr="00496528">
      <w:rPr>
        <w:b/>
        <w:bCs/>
        <w:sz w:val="16"/>
        <w:szCs w:val="16"/>
      </w:rPr>
      <w:t>9</w:t>
    </w:r>
    <w:r w:rsidRPr="00496528">
      <w:rPr>
        <w:b/>
        <w:bCs/>
        <w:sz w:val="16"/>
        <w:szCs w:val="16"/>
      </w:rPr>
      <w:fldChar w:fldCharType="end"/>
    </w:r>
    <w:r w:rsidRPr="00496528">
      <w:rPr>
        <w:sz w:val="16"/>
        <w:szCs w:val="16"/>
      </w:rPr>
      <w:t xml:space="preserve"> de </w:t>
    </w:r>
    <w:r w:rsidRPr="00496528">
      <w:rPr>
        <w:b/>
        <w:bCs/>
        <w:sz w:val="16"/>
        <w:szCs w:val="16"/>
      </w:rPr>
      <w:fldChar w:fldCharType="begin"/>
    </w:r>
    <w:r w:rsidRPr="00496528">
      <w:rPr>
        <w:b/>
        <w:bCs/>
        <w:sz w:val="16"/>
        <w:szCs w:val="16"/>
      </w:rPr>
      <w:instrText>NUMPAGES</w:instrText>
    </w:r>
    <w:r w:rsidRPr="00496528">
      <w:rPr>
        <w:b/>
        <w:bCs/>
        <w:sz w:val="16"/>
        <w:szCs w:val="16"/>
      </w:rPr>
      <w:fldChar w:fldCharType="separate"/>
    </w:r>
    <w:r w:rsidR="00147C4A" w:rsidRPr="00496528">
      <w:rPr>
        <w:b/>
        <w:bCs/>
        <w:sz w:val="16"/>
        <w:szCs w:val="16"/>
      </w:rPr>
      <w:t>9</w:t>
    </w:r>
    <w:r w:rsidRPr="00496528">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DF52D" w14:textId="77777777" w:rsidR="00D43108" w:rsidRPr="00496528" w:rsidRDefault="00D43108" w:rsidP="00DE2F84">
      <w:pPr>
        <w:spacing w:after="0" w:line="240" w:lineRule="auto"/>
      </w:pPr>
      <w:r w:rsidRPr="00496528">
        <w:separator/>
      </w:r>
    </w:p>
  </w:footnote>
  <w:footnote w:type="continuationSeparator" w:id="0">
    <w:p w14:paraId="59BA1365" w14:textId="77777777" w:rsidR="00D43108" w:rsidRPr="00496528" w:rsidRDefault="00D43108" w:rsidP="00DE2F84">
      <w:pPr>
        <w:spacing w:after="0" w:line="240" w:lineRule="auto"/>
      </w:pPr>
      <w:r w:rsidRPr="004965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DAD0" w14:textId="77777777" w:rsidR="00DE2F84" w:rsidRPr="00071C4A" w:rsidRDefault="00DE2F84" w:rsidP="00DE2F84">
    <w:pPr>
      <w:pStyle w:val="Encabezado"/>
      <w:jc w:val="center"/>
      <w:rPr>
        <w:b/>
        <w:bCs/>
      </w:rPr>
    </w:pPr>
    <w:r w:rsidRPr="00071C4A">
      <w:rPr>
        <w:b/>
        <w:bCs/>
      </w:rPr>
      <w:t xml:space="preserve">INSTITUTO MUNICIPAL DE </w:t>
    </w:r>
    <w:r w:rsidR="00BC3C7D" w:rsidRPr="00071C4A">
      <w:rPr>
        <w:b/>
        <w:bCs/>
      </w:rPr>
      <w:t>PLANEACIÓN</w:t>
    </w:r>
    <w:r w:rsidRPr="00071C4A">
      <w:rPr>
        <w:b/>
        <w:bCs/>
      </w:rPr>
      <w:t xml:space="preserve"> DE IRAPUATO GUANAJUATO</w:t>
    </w:r>
  </w:p>
  <w:p w14:paraId="523F311B" w14:textId="77777777" w:rsidR="00F2586E" w:rsidRPr="00496528" w:rsidRDefault="00F2586E" w:rsidP="00F2586E">
    <w:pPr>
      <w:shd w:val="clear" w:color="auto" w:fill="FFFFFF"/>
      <w:jc w:val="center"/>
      <w:rPr>
        <w:rFonts w:ascii="Times New Roman" w:hAnsi="Times New Roman"/>
        <w:b/>
        <w:sz w:val="20"/>
        <w:szCs w:val="20"/>
      </w:rPr>
    </w:pPr>
    <w:r w:rsidRPr="00496528">
      <w:rPr>
        <w:rFonts w:ascii="Times New Roman" w:hAnsi="Times New Roman"/>
        <w:b/>
        <w:sz w:val="20"/>
        <w:szCs w:val="20"/>
      </w:rPr>
      <w:t>NOTAS DE GESTIÓN ADMINISTRATIVA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32A47"/>
    <w:multiLevelType w:val="hybridMultilevel"/>
    <w:tmpl w:val="49325910"/>
    <w:lvl w:ilvl="0" w:tplc="C7CC595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num w:numId="1" w16cid:durableId="1999310164">
    <w:abstractNumId w:val="1"/>
  </w:num>
  <w:num w:numId="2" w16cid:durableId="134757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F0"/>
    <w:rsid w:val="0002447A"/>
    <w:rsid w:val="00024CC8"/>
    <w:rsid w:val="000563C6"/>
    <w:rsid w:val="00063C1F"/>
    <w:rsid w:val="00071C4A"/>
    <w:rsid w:val="00080782"/>
    <w:rsid w:val="00085157"/>
    <w:rsid w:val="000905E8"/>
    <w:rsid w:val="000A7D20"/>
    <w:rsid w:val="000B4CA3"/>
    <w:rsid w:val="000C1BA0"/>
    <w:rsid w:val="000C3C64"/>
    <w:rsid w:val="000D597C"/>
    <w:rsid w:val="000E0E1E"/>
    <w:rsid w:val="001050E0"/>
    <w:rsid w:val="001337B0"/>
    <w:rsid w:val="00147C4A"/>
    <w:rsid w:val="001956D9"/>
    <w:rsid w:val="001C0B3D"/>
    <w:rsid w:val="001D2F91"/>
    <w:rsid w:val="001D512B"/>
    <w:rsid w:val="001D7169"/>
    <w:rsid w:val="001E5AA3"/>
    <w:rsid w:val="0022253D"/>
    <w:rsid w:val="00231C97"/>
    <w:rsid w:val="00241750"/>
    <w:rsid w:val="00254E15"/>
    <w:rsid w:val="002664D7"/>
    <w:rsid w:val="002C22D5"/>
    <w:rsid w:val="002E6BDB"/>
    <w:rsid w:val="00305A36"/>
    <w:rsid w:val="003126D7"/>
    <w:rsid w:val="00350FC5"/>
    <w:rsid w:val="00353790"/>
    <w:rsid w:val="0035592D"/>
    <w:rsid w:val="003634FD"/>
    <w:rsid w:val="00372EFF"/>
    <w:rsid w:val="003A2CCA"/>
    <w:rsid w:val="003B58BE"/>
    <w:rsid w:val="003C5554"/>
    <w:rsid w:val="003D2FA0"/>
    <w:rsid w:val="003E5E27"/>
    <w:rsid w:val="0040343C"/>
    <w:rsid w:val="004159A1"/>
    <w:rsid w:val="004237E1"/>
    <w:rsid w:val="00426A49"/>
    <w:rsid w:val="00445AC6"/>
    <w:rsid w:val="004537E9"/>
    <w:rsid w:val="00465044"/>
    <w:rsid w:val="00496528"/>
    <w:rsid w:val="004A7B5D"/>
    <w:rsid w:val="004B187B"/>
    <w:rsid w:val="004B6B2F"/>
    <w:rsid w:val="004D1CBC"/>
    <w:rsid w:val="004E17C1"/>
    <w:rsid w:val="004E70D3"/>
    <w:rsid w:val="004F4E10"/>
    <w:rsid w:val="005165BA"/>
    <w:rsid w:val="005331E7"/>
    <w:rsid w:val="00546C98"/>
    <w:rsid w:val="00556483"/>
    <w:rsid w:val="00556BDD"/>
    <w:rsid w:val="00557929"/>
    <w:rsid w:val="00564166"/>
    <w:rsid w:val="005925D9"/>
    <w:rsid w:val="00593A5C"/>
    <w:rsid w:val="005A4EFA"/>
    <w:rsid w:val="005A5EED"/>
    <w:rsid w:val="005A6FCD"/>
    <w:rsid w:val="005B0699"/>
    <w:rsid w:val="005B37A1"/>
    <w:rsid w:val="005B7111"/>
    <w:rsid w:val="005E0C84"/>
    <w:rsid w:val="005E6F14"/>
    <w:rsid w:val="005F6B3C"/>
    <w:rsid w:val="00624741"/>
    <w:rsid w:val="006744C2"/>
    <w:rsid w:val="00697EA0"/>
    <w:rsid w:val="006A7B61"/>
    <w:rsid w:val="006B266B"/>
    <w:rsid w:val="006C21BC"/>
    <w:rsid w:val="006C35D8"/>
    <w:rsid w:val="006D5C09"/>
    <w:rsid w:val="006F17F0"/>
    <w:rsid w:val="00733DB5"/>
    <w:rsid w:val="00753E58"/>
    <w:rsid w:val="007675FE"/>
    <w:rsid w:val="00773B5D"/>
    <w:rsid w:val="007902DF"/>
    <w:rsid w:val="00792567"/>
    <w:rsid w:val="007D6FEA"/>
    <w:rsid w:val="007F369E"/>
    <w:rsid w:val="0081209E"/>
    <w:rsid w:val="008251E6"/>
    <w:rsid w:val="008260F7"/>
    <w:rsid w:val="00846A42"/>
    <w:rsid w:val="00873E9A"/>
    <w:rsid w:val="00881850"/>
    <w:rsid w:val="008F6810"/>
    <w:rsid w:val="00957850"/>
    <w:rsid w:val="00977849"/>
    <w:rsid w:val="00981D9D"/>
    <w:rsid w:val="009973BD"/>
    <w:rsid w:val="009A1B69"/>
    <w:rsid w:val="009B6F7B"/>
    <w:rsid w:val="009C3E21"/>
    <w:rsid w:val="009C3F8E"/>
    <w:rsid w:val="00A06C84"/>
    <w:rsid w:val="00A21E8D"/>
    <w:rsid w:val="00A277AD"/>
    <w:rsid w:val="00A63339"/>
    <w:rsid w:val="00A859EB"/>
    <w:rsid w:val="00AD321B"/>
    <w:rsid w:val="00B36DCF"/>
    <w:rsid w:val="00B42BF3"/>
    <w:rsid w:val="00B6151F"/>
    <w:rsid w:val="00B619FF"/>
    <w:rsid w:val="00B6734E"/>
    <w:rsid w:val="00B81780"/>
    <w:rsid w:val="00B9051C"/>
    <w:rsid w:val="00B96F79"/>
    <w:rsid w:val="00BC3C7D"/>
    <w:rsid w:val="00C07A35"/>
    <w:rsid w:val="00C47E1E"/>
    <w:rsid w:val="00C656EA"/>
    <w:rsid w:val="00C7256C"/>
    <w:rsid w:val="00C93F16"/>
    <w:rsid w:val="00CB120F"/>
    <w:rsid w:val="00CC5260"/>
    <w:rsid w:val="00CD1B53"/>
    <w:rsid w:val="00CD4F67"/>
    <w:rsid w:val="00CD4FED"/>
    <w:rsid w:val="00D02D30"/>
    <w:rsid w:val="00D15A41"/>
    <w:rsid w:val="00D32985"/>
    <w:rsid w:val="00D43108"/>
    <w:rsid w:val="00D47685"/>
    <w:rsid w:val="00D92C81"/>
    <w:rsid w:val="00DA598B"/>
    <w:rsid w:val="00DB513D"/>
    <w:rsid w:val="00DD3AA0"/>
    <w:rsid w:val="00DD5055"/>
    <w:rsid w:val="00DE2F84"/>
    <w:rsid w:val="00E16674"/>
    <w:rsid w:val="00E26097"/>
    <w:rsid w:val="00E33F80"/>
    <w:rsid w:val="00E409E8"/>
    <w:rsid w:val="00E52055"/>
    <w:rsid w:val="00E572AD"/>
    <w:rsid w:val="00E61717"/>
    <w:rsid w:val="00E76B62"/>
    <w:rsid w:val="00E83788"/>
    <w:rsid w:val="00E87552"/>
    <w:rsid w:val="00E936E7"/>
    <w:rsid w:val="00ED1175"/>
    <w:rsid w:val="00ED5E75"/>
    <w:rsid w:val="00ED6477"/>
    <w:rsid w:val="00EE772E"/>
    <w:rsid w:val="00EF2EF2"/>
    <w:rsid w:val="00EF3195"/>
    <w:rsid w:val="00F23374"/>
    <w:rsid w:val="00F2586E"/>
    <w:rsid w:val="00F42EBB"/>
    <w:rsid w:val="00F50FE0"/>
    <w:rsid w:val="00F948BF"/>
    <w:rsid w:val="00FC074B"/>
    <w:rsid w:val="00FC7BB8"/>
    <w:rsid w:val="00FD4B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93630"/>
  <w15:chartTrackingRefBased/>
  <w15:docId w15:val="{EDCDDA5B-6BC7-4E17-A100-C6F8EB1E7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30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vistosa-nfasis11">
    <w:name w:val="Lista vistosa - Énfasis 11"/>
    <w:basedOn w:val="Normal"/>
    <w:uiPriority w:val="34"/>
    <w:qFormat/>
    <w:rsid w:val="006F17F0"/>
    <w:pPr>
      <w:ind w:left="720"/>
      <w:contextualSpacing/>
    </w:pPr>
  </w:style>
  <w:style w:type="paragraph" w:styleId="Textodebloque">
    <w:name w:val="Block Text"/>
    <w:basedOn w:val="Normal"/>
    <w:rsid w:val="001E7865"/>
    <w:pPr>
      <w:spacing w:after="0" w:line="283" w:lineRule="exact"/>
      <w:ind w:left="720" w:right="72" w:hanging="432"/>
      <w:jc w:val="both"/>
    </w:pPr>
    <w:rPr>
      <w:rFonts w:ascii="Times New Roman" w:eastAsia="Times New Roman" w:hAnsi="Times New Roman"/>
      <w:sz w:val="24"/>
      <w:szCs w:val="24"/>
      <w:lang w:val="es-ES" w:eastAsia="es-ES"/>
    </w:rPr>
  </w:style>
  <w:style w:type="paragraph" w:styleId="Encabezado">
    <w:name w:val="header"/>
    <w:basedOn w:val="Normal"/>
    <w:link w:val="EncabezadoCar"/>
    <w:uiPriority w:val="99"/>
    <w:unhideWhenUsed/>
    <w:rsid w:val="00DE2F84"/>
    <w:pPr>
      <w:tabs>
        <w:tab w:val="center" w:pos="4419"/>
        <w:tab w:val="right" w:pos="8838"/>
      </w:tabs>
    </w:pPr>
  </w:style>
  <w:style w:type="character" w:customStyle="1" w:styleId="EncabezadoCar">
    <w:name w:val="Encabezado Car"/>
    <w:link w:val="Encabezado"/>
    <w:uiPriority w:val="99"/>
    <w:rsid w:val="00DE2F84"/>
    <w:rPr>
      <w:sz w:val="22"/>
      <w:szCs w:val="22"/>
      <w:lang w:eastAsia="en-US"/>
    </w:rPr>
  </w:style>
  <w:style w:type="paragraph" w:styleId="Piedepgina">
    <w:name w:val="footer"/>
    <w:basedOn w:val="Normal"/>
    <w:link w:val="PiedepginaCar"/>
    <w:uiPriority w:val="99"/>
    <w:unhideWhenUsed/>
    <w:rsid w:val="00DE2F84"/>
    <w:pPr>
      <w:tabs>
        <w:tab w:val="center" w:pos="4419"/>
        <w:tab w:val="right" w:pos="8838"/>
      </w:tabs>
    </w:pPr>
  </w:style>
  <w:style w:type="character" w:customStyle="1" w:styleId="PiedepginaCar">
    <w:name w:val="Pie de página Car"/>
    <w:link w:val="Piedepgina"/>
    <w:uiPriority w:val="99"/>
    <w:rsid w:val="00DE2F84"/>
    <w:rPr>
      <w:sz w:val="22"/>
      <w:szCs w:val="22"/>
      <w:lang w:eastAsia="en-US"/>
    </w:rPr>
  </w:style>
  <w:style w:type="table" w:styleId="Tablaconcuadrcula">
    <w:name w:val="Table Grid"/>
    <w:basedOn w:val="Tablanormal"/>
    <w:uiPriority w:val="59"/>
    <w:rsid w:val="00DD3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851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5724">
      <w:bodyDiv w:val="1"/>
      <w:marLeft w:val="0"/>
      <w:marRight w:val="0"/>
      <w:marTop w:val="0"/>
      <w:marBottom w:val="0"/>
      <w:divBdr>
        <w:top w:val="none" w:sz="0" w:space="0" w:color="auto"/>
        <w:left w:val="none" w:sz="0" w:space="0" w:color="auto"/>
        <w:bottom w:val="none" w:sz="0" w:space="0" w:color="auto"/>
        <w:right w:val="none" w:sz="0" w:space="0" w:color="auto"/>
      </w:divBdr>
    </w:div>
    <w:div w:id="696273946">
      <w:bodyDiv w:val="1"/>
      <w:marLeft w:val="0"/>
      <w:marRight w:val="0"/>
      <w:marTop w:val="0"/>
      <w:marBottom w:val="0"/>
      <w:divBdr>
        <w:top w:val="none" w:sz="0" w:space="0" w:color="auto"/>
        <w:left w:val="none" w:sz="0" w:space="0" w:color="auto"/>
        <w:bottom w:val="none" w:sz="0" w:space="0" w:color="auto"/>
        <w:right w:val="none" w:sz="0" w:space="0" w:color="auto"/>
      </w:divBdr>
    </w:div>
    <w:div w:id="972905849">
      <w:bodyDiv w:val="1"/>
      <w:marLeft w:val="0"/>
      <w:marRight w:val="0"/>
      <w:marTop w:val="0"/>
      <w:marBottom w:val="0"/>
      <w:divBdr>
        <w:top w:val="none" w:sz="0" w:space="0" w:color="auto"/>
        <w:left w:val="none" w:sz="0" w:space="0" w:color="auto"/>
        <w:bottom w:val="none" w:sz="0" w:space="0" w:color="auto"/>
        <w:right w:val="none" w:sz="0" w:space="0" w:color="auto"/>
      </w:divBdr>
    </w:div>
    <w:div w:id="1027752115">
      <w:bodyDiv w:val="1"/>
      <w:marLeft w:val="0"/>
      <w:marRight w:val="0"/>
      <w:marTop w:val="0"/>
      <w:marBottom w:val="0"/>
      <w:divBdr>
        <w:top w:val="none" w:sz="0" w:space="0" w:color="auto"/>
        <w:left w:val="none" w:sz="0" w:space="0" w:color="auto"/>
        <w:bottom w:val="none" w:sz="0" w:space="0" w:color="auto"/>
        <w:right w:val="none" w:sz="0" w:space="0" w:color="auto"/>
      </w:divBdr>
    </w:div>
    <w:div w:id="1963264955">
      <w:bodyDiv w:val="1"/>
      <w:marLeft w:val="0"/>
      <w:marRight w:val="0"/>
      <w:marTop w:val="0"/>
      <w:marBottom w:val="0"/>
      <w:divBdr>
        <w:top w:val="none" w:sz="0" w:space="0" w:color="auto"/>
        <w:left w:val="none" w:sz="0" w:space="0" w:color="auto"/>
        <w:bottom w:val="none" w:sz="0" w:space="0" w:color="auto"/>
        <w:right w:val="none" w:sz="0" w:space="0" w:color="auto"/>
      </w:divBdr>
    </w:div>
    <w:div w:id="200685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8</Pages>
  <Words>3157</Words>
  <Characters>17366</Characters>
  <Application>Microsoft Office Word</Application>
  <DocSecurity>0</DocSecurity>
  <Lines>144</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a los Estados Financieros de Gestión Administrativa</vt:lpstr>
      <vt:lpstr>Notas a los Estados Financieros de Gestión Administrativa</vt:lpstr>
    </vt:vector>
  </TitlesOfParts>
  <Company>Microsoft</Company>
  <LinksUpToDate>false</LinksUpToDate>
  <CharactersWithSpaces>20483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 de Gestión Administrativa</dc:title>
  <dc:subject/>
  <dc:creator>mrangel</dc:creator>
  <cp:keywords/>
  <cp:lastModifiedBy>Sara Mendez</cp:lastModifiedBy>
  <cp:revision>22</cp:revision>
  <cp:lastPrinted>2025-04-22T20:51:00Z</cp:lastPrinted>
  <dcterms:created xsi:type="dcterms:W3CDTF">2024-04-24T17:42:00Z</dcterms:created>
  <dcterms:modified xsi:type="dcterms:W3CDTF">2026-01-27T16:12:00Z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0x010100D82020160536FF48BE390F14F22A285B</vt:lpwstr>
  </property>
  <property fmtid="{D5CDD505-2E9C-101B-9397-08002B2CF9AE}" pid="3" name="Responsable">
    <vt:lpwstr/>
  </property>
  <property fmtid="{D5CDD505-2E9C-101B-9397-08002B2CF9AE}" pid="4" name="Status">
    <vt:lpwstr>Proceso</vt:lpwstr>
  </property>
  <property fmtid="{D5CDD505-2E9C-101B-9397-08002B2CF9AE}" pid="5" name="display_urn:schemas-microsoft-com:office:office#Responsable">
    <vt:lpwstr>Jaime Gonzalez Mauricio Josafat</vt:lpwstr>
  </property>
</Properties>
</file>